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08FD" w14:textId="77823C08" w:rsidR="00BB2045" w:rsidRPr="00313F27" w:rsidRDefault="009B1490" w:rsidP="009B1490">
      <w:pPr>
        <w:jc w:val="center"/>
        <w:rPr>
          <w:rFonts w:ascii="Times New Roman" w:hAnsi="Times New Roman" w:cs="Times New Roman"/>
          <w:b/>
          <w:bCs/>
          <w:sz w:val="28"/>
          <w:szCs w:val="28"/>
        </w:rPr>
      </w:pPr>
      <w:r w:rsidRPr="00313F27">
        <w:rPr>
          <w:rFonts w:ascii="Times New Roman" w:hAnsi="Times New Roman" w:cs="Times New Roman"/>
          <w:b/>
          <w:bCs/>
          <w:sz w:val="28"/>
          <w:szCs w:val="28"/>
        </w:rPr>
        <w:t>DỰ THẢO SỬA ĐỔI BỔ SUNG QUY CHẾ NHÀ CHUNG CƯ SAPPHIRE NĂM 2025</w:t>
      </w:r>
    </w:p>
    <w:p w14:paraId="7B179287" w14:textId="77777777" w:rsidR="009B1490" w:rsidRPr="00313F27" w:rsidRDefault="009B1490" w:rsidP="009B1490">
      <w:pPr>
        <w:jc w:val="center"/>
        <w:rPr>
          <w:rFonts w:ascii="Times New Roman" w:hAnsi="Times New Roman" w:cs="Times New Roman"/>
          <w:b/>
          <w:bCs/>
          <w:sz w:val="28"/>
          <w:szCs w:val="28"/>
        </w:rPr>
      </w:pPr>
    </w:p>
    <w:tbl>
      <w:tblPr>
        <w:tblStyle w:val="TableGrid"/>
        <w:tblW w:w="13590" w:type="dxa"/>
        <w:tblInd w:w="-365" w:type="dxa"/>
        <w:tblLook w:val="04A0" w:firstRow="1" w:lastRow="0" w:firstColumn="1" w:lastColumn="0" w:noHBand="0" w:noVBand="1"/>
      </w:tblPr>
      <w:tblGrid>
        <w:gridCol w:w="1648"/>
        <w:gridCol w:w="4779"/>
        <w:gridCol w:w="7163"/>
      </w:tblGrid>
      <w:tr w:rsidR="009B1490" w:rsidRPr="00313F27" w14:paraId="6FB176F0" w14:textId="77777777" w:rsidTr="0078361D">
        <w:trPr>
          <w:trHeight w:val="578"/>
          <w:tblHeader/>
        </w:trPr>
        <w:tc>
          <w:tcPr>
            <w:tcW w:w="1648" w:type="dxa"/>
            <w:vAlign w:val="center"/>
          </w:tcPr>
          <w:p w14:paraId="40430094" w14:textId="77777777" w:rsidR="009B1490" w:rsidRPr="00313F27" w:rsidRDefault="009B1490" w:rsidP="00650441">
            <w:pPr>
              <w:tabs>
                <w:tab w:val="left" w:pos="5526"/>
              </w:tabs>
              <w:jc w:val="center"/>
              <w:rPr>
                <w:rFonts w:ascii="Times New Roman" w:hAnsi="Times New Roman" w:cs="Times New Roman"/>
                <w:b/>
                <w:sz w:val="28"/>
                <w:szCs w:val="28"/>
              </w:rPr>
            </w:pPr>
            <w:r w:rsidRPr="00313F27">
              <w:rPr>
                <w:rFonts w:ascii="Times New Roman" w:hAnsi="Times New Roman" w:cs="Times New Roman"/>
                <w:b/>
                <w:sz w:val="28"/>
                <w:szCs w:val="28"/>
              </w:rPr>
              <w:t>Khoản/Mục</w:t>
            </w:r>
          </w:p>
        </w:tc>
        <w:tc>
          <w:tcPr>
            <w:tcW w:w="4779" w:type="dxa"/>
            <w:vAlign w:val="center"/>
          </w:tcPr>
          <w:p w14:paraId="6579FB04" w14:textId="77777777" w:rsidR="009B1490" w:rsidRPr="00313F27" w:rsidRDefault="009B1490" w:rsidP="00650441">
            <w:pPr>
              <w:tabs>
                <w:tab w:val="left" w:pos="5526"/>
              </w:tabs>
              <w:jc w:val="center"/>
              <w:rPr>
                <w:rFonts w:ascii="Times New Roman" w:hAnsi="Times New Roman" w:cs="Times New Roman"/>
                <w:sz w:val="28"/>
                <w:szCs w:val="28"/>
              </w:rPr>
            </w:pPr>
            <w:r w:rsidRPr="00313F27">
              <w:rPr>
                <w:rFonts w:ascii="Times New Roman" w:hAnsi="Times New Roman" w:cs="Times New Roman"/>
                <w:b/>
                <w:sz w:val="28"/>
                <w:szCs w:val="28"/>
              </w:rPr>
              <w:t>NỘI DUNG ĐÃ BAN HÀNH</w:t>
            </w:r>
          </w:p>
        </w:tc>
        <w:tc>
          <w:tcPr>
            <w:tcW w:w="7163" w:type="dxa"/>
            <w:vAlign w:val="center"/>
          </w:tcPr>
          <w:p w14:paraId="139FACB6" w14:textId="77777777" w:rsidR="009B1490" w:rsidRPr="00313F27" w:rsidRDefault="009B1490" w:rsidP="00650441">
            <w:pPr>
              <w:tabs>
                <w:tab w:val="left" w:pos="5526"/>
              </w:tabs>
              <w:jc w:val="center"/>
              <w:rPr>
                <w:rFonts w:ascii="Times New Roman" w:hAnsi="Times New Roman" w:cs="Times New Roman"/>
                <w:b/>
                <w:sz w:val="28"/>
                <w:szCs w:val="28"/>
              </w:rPr>
            </w:pPr>
            <w:r w:rsidRPr="00313F27">
              <w:rPr>
                <w:rStyle w:val="fontstyle01"/>
                <w:rFonts w:ascii="Times New Roman" w:hAnsi="Times New Roman" w:cs="Times New Roman"/>
                <w:b/>
                <w:sz w:val="28"/>
                <w:szCs w:val="28"/>
              </w:rPr>
              <w:t>ĐỀ XUẤT SỬA ĐỔI</w:t>
            </w:r>
          </w:p>
        </w:tc>
      </w:tr>
      <w:tr w:rsidR="009B1490" w:rsidRPr="00313F27" w14:paraId="7687E069" w14:textId="77777777" w:rsidTr="0078361D">
        <w:tc>
          <w:tcPr>
            <w:tcW w:w="1648" w:type="dxa"/>
            <w:vAlign w:val="center"/>
          </w:tcPr>
          <w:p w14:paraId="062CD791" w14:textId="77777777" w:rsidR="009B1490" w:rsidRPr="00313F27" w:rsidRDefault="009B1490" w:rsidP="00650441">
            <w:pPr>
              <w:tabs>
                <w:tab w:val="left" w:pos="5526"/>
              </w:tabs>
              <w:rPr>
                <w:rFonts w:ascii="Times New Roman" w:hAnsi="Times New Roman" w:cs="Times New Roman"/>
                <w:b/>
                <w:sz w:val="28"/>
                <w:szCs w:val="28"/>
              </w:rPr>
            </w:pPr>
            <w:r w:rsidRPr="00313F27">
              <w:rPr>
                <w:rFonts w:ascii="Times New Roman" w:hAnsi="Times New Roman" w:cs="Times New Roman"/>
                <w:b/>
                <w:sz w:val="28"/>
                <w:szCs w:val="28"/>
              </w:rPr>
              <w:t>Điều 7</w:t>
            </w:r>
          </w:p>
        </w:tc>
        <w:tc>
          <w:tcPr>
            <w:tcW w:w="4779" w:type="dxa"/>
            <w:vAlign w:val="center"/>
          </w:tcPr>
          <w:p w14:paraId="01568B41" w14:textId="77777777" w:rsidR="009B1490" w:rsidRPr="00313F27" w:rsidRDefault="009B1490" w:rsidP="00650441">
            <w:pPr>
              <w:spacing w:before="120" w:after="120"/>
              <w:jc w:val="both"/>
              <w:rPr>
                <w:rFonts w:ascii="Times New Roman" w:hAnsi="Times New Roman" w:cs="Times New Roman"/>
                <w:b/>
                <w:sz w:val="28"/>
                <w:szCs w:val="28"/>
              </w:rPr>
            </w:pPr>
            <w:r w:rsidRPr="00313F27">
              <w:rPr>
                <w:rFonts w:ascii="Times New Roman" w:hAnsi="Times New Roman" w:cs="Times New Roman"/>
                <w:b/>
                <w:sz w:val="28"/>
                <w:szCs w:val="28"/>
              </w:rPr>
              <w:t>Quỹ vận hành Nhà chung cư</w:t>
            </w:r>
          </w:p>
          <w:p w14:paraId="7028EB37" w14:textId="77777777" w:rsidR="009B1490" w:rsidRPr="00313F27" w:rsidRDefault="009B1490" w:rsidP="00650441">
            <w:pPr>
              <w:spacing w:before="120" w:after="120"/>
              <w:jc w:val="both"/>
              <w:rPr>
                <w:rFonts w:ascii="Times New Roman" w:hAnsi="Times New Roman" w:cs="Times New Roman"/>
                <w:bCs/>
                <w:sz w:val="28"/>
                <w:szCs w:val="28"/>
              </w:rPr>
            </w:pPr>
            <w:r w:rsidRPr="00313F27">
              <w:rPr>
                <w:rFonts w:ascii="Times New Roman" w:hAnsi="Times New Roman" w:cs="Times New Roman"/>
                <w:bCs/>
                <w:sz w:val="28"/>
                <w:szCs w:val="28"/>
              </w:rPr>
              <w:t>7.1.</w:t>
            </w:r>
            <w:r w:rsidRPr="00313F27">
              <w:rPr>
                <w:rFonts w:ascii="Times New Roman" w:hAnsi="Times New Roman" w:cs="Times New Roman"/>
                <w:bCs/>
                <w:sz w:val="28"/>
                <w:szCs w:val="28"/>
              </w:rPr>
              <w:tab/>
              <w:t xml:space="preserve">Là các khoản thu từ phí dịch vụ quản lý vận hành </w:t>
            </w:r>
            <w:r w:rsidRPr="00313F27">
              <w:rPr>
                <w:rFonts w:ascii="Times New Roman" w:hAnsi="Times New Roman" w:cs="Times New Roman"/>
                <w:bCs/>
                <w:sz w:val="28"/>
                <w:szCs w:val="28"/>
              </w:rPr>
              <w:sym w:font="Wingdings" w:char="F0E0"/>
            </w:r>
            <w:r w:rsidRPr="00313F27">
              <w:rPr>
                <w:rFonts w:ascii="Times New Roman" w:hAnsi="Times New Roman" w:cs="Times New Roman"/>
                <w:bCs/>
                <w:sz w:val="28"/>
                <w:szCs w:val="28"/>
              </w:rPr>
              <w:t xml:space="preserve"> BQT thu phí dịch vụ quản lý quản lý </w:t>
            </w:r>
          </w:p>
        </w:tc>
        <w:tc>
          <w:tcPr>
            <w:tcW w:w="7163" w:type="dxa"/>
          </w:tcPr>
          <w:p w14:paraId="6CD49C6F" w14:textId="77777777" w:rsidR="009B1490" w:rsidRPr="00313F27" w:rsidRDefault="009B1490" w:rsidP="00650441">
            <w:pPr>
              <w:pStyle w:val="ListParagraph"/>
              <w:numPr>
                <w:ilvl w:val="0"/>
                <w:numId w:val="7"/>
              </w:numPr>
              <w:spacing w:after="200" w:line="312" w:lineRule="auto"/>
              <w:ind w:left="415"/>
              <w:jc w:val="both"/>
              <w:rPr>
                <w:rFonts w:ascii="Times New Roman" w:hAnsi="Times New Roman" w:cs="Times New Roman"/>
                <w:color w:val="FF0000"/>
                <w:sz w:val="28"/>
                <w:szCs w:val="28"/>
              </w:rPr>
            </w:pPr>
            <w:r w:rsidRPr="00313F27">
              <w:rPr>
                <w:rFonts w:ascii="Times New Roman" w:hAnsi="Times New Roman" w:cs="Times New Roman"/>
                <w:color w:val="FF0000"/>
                <w:sz w:val="28"/>
                <w:szCs w:val="28"/>
                <w:lang w:val="vi-VN"/>
              </w:rPr>
              <w:t xml:space="preserve">Không tiến hành thực hiện thu phí dịch vụ QLVH từ cư dân vào tài khoản của BQT. </w:t>
            </w:r>
          </w:p>
          <w:p w14:paraId="338232A7" w14:textId="77777777" w:rsidR="009B1490" w:rsidRPr="00313F27" w:rsidRDefault="009B1490" w:rsidP="00650441">
            <w:pPr>
              <w:pStyle w:val="ListParagraph"/>
              <w:numPr>
                <w:ilvl w:val="0"/>
                <w:numId w:val="6"/>
              </w:numPr>
              <w:spacing w:after="200" w:line="312" w:lineRule="auto"/>
              <w:ind w:left="415"/>
              <w:jc w:val="both"/>
              <w:rPr>
                <w:rFonts w:ascii="Times New Roman" w:hAnsi="Times New Roman" w:cs="Times New Roman"/>
                <w:color w:val="FF0000"/>
                <w:sz w:val="28"/>
                <w:szCs w:val="28"/>
                <w:lang w:val="vi-VN"/>
              </w:rPr>
            </w:pPr>
            <w:r w:rsidRPr="00313F27">
              <w:rPr>
                <w:rFonts w:ascii="Times New Roman" w:hAnsi="Times New Roman" w:cs="Times New Roman"/>
                <w:color w:val="FF0000"/>
                <w:sz w:val="28"/>
                <w:szCs w:val="28"/>
              </w:rPr>
              <w:t>Đóng tài khoản quỹ vận hành. Chuyển toàn bộ số dư sang Quỹ cộng đồng.</w:t>
            </w:r>
          </w:p>
          <w:p w14:paraId="24DE12E7" w14:textId="77777777" w:rsidR="009B1490" w:rsidRPr="00313F27" w:rsidRDefault="009B1490" w:rsidP="00650441">
            <w:pPr>
              <w:pStyle w:val="ListParagraph"/>
              <w:numPr>
                <w:ilvl w:val="0"/>
                <w:numId w:val="6"/>
              </w:numPr>
              <w:spacing w:after="200" w:line="312" w:lineRule="auto"/>
              <w:ind w:left="415"/>
              <w:jc w:val="both"/>
              <w:rPr>
                <w:rFonts w:ascii="Times New Roman" w:hAnsi="Times New Roman" w:cs="Times New Roman"/>
                <w:color w:val="FF0000"/>
                <w:sz w:val="28"/>
                <w:szCs w:val="28"/>
                <w:lang w:val="vi-VN"/>
              </w:rPr>
            </w:pPr>
            <w:r w:rsidRPr="00313F27">
              <w:rPr>
                <w:rFonts w:ascii="Times New Roman" w:hAnsi="Times New Roman" w:cs="Times New Roman"/>
                <w:color w:val="FF0000"/>
                <w:sz w:val="28"/>
                <w:szCs w:val="28"/>
                <w:lang w:val="vi-VN"/>
              </w:rPr>
              <w:t>Nhập toàn bộ thông tin liên quan đến mục đích sử dụng của Quỹ vận hành vào Quỹ cộng đồng</w:t>
            </w:r>
          </w:p>
        </w:tc>
      </w:tr>
      <w:tr w:rsidR="009B1490" w:rsidRPr="00313F27" w14:paraId="55E1A6D3" w14:textId="77777777" w:rsidTr="0078361D">
        <w:tc>
          <w:tcPr>
            <w:tcW w:w="1648" w:type="dxa"/>
            <w:vAlign w:val="center"/>
          </w:tcPr>
          <w:p w14:paraId="55B91AB3" w14:textId="77777777" w:rsidR="009B1490" w:rsidRPr="00313F27" w:rsidRDefault="009B1490" w:rsidP="00650441">
            <w:pPr>
              <w:tabs>
                <w:tab w:val="left" w:pos="5526"/>
              </w:tabs>
              <w:rPr>
                <w:rFonts w:ascii="Times New Roman" w:hAnsi="Times New Roman" w:cs="Times New Roman"/>
                <w:b/>
                <w:sz w:val="28"/>
                <w:szCs w:val="28"/>
              </w:rPr>
            </w:pPr>
            <w:r w:rsidRPr="00313F27">
              <w:rPr>
                <w:rFonts w:ascii="Times New Roman" w:hAnsi="Times New Roman" w:cs="Times New Roman"/>
                <w:b/>
                <w:sz w:val="28"/>
                <w:szCs w:val="28"/>
              </w:rPr>
              <w:t>Điều 8</w:t>
            </w:r>
          </w:p>
        </w:tc>
        <w:tc>
          <w:tcPr>
            <w:tcW w:w="4779" w:type="dxa"/>
            <w:vAlign w:val="center"/>
          </w:tcPr>
          <w:p w14:paraId="394216ED" w14:textId="77777777" w:rsidR="009B1490" w:rsidRPr="00313F27" w:rsidRDefault="009B1490" w:rsidP="00650441">
            <w:pPr>
              <w:spacing w:before="120" w:after="120"/>
              <w:jc w:val="both"/>
              <w:rPr>
                <w:rFonts w:ascii="Times New Roman" w:hAnsi="Times New Roman" w:cs="Times New Roman"/>
                <w:b/>
                <w:sz w:val="28"/>
                <w:szCs w:val="28"/>
              </w:rPr>
            </w:pPr>
            <w:r w:rsidRPr="00313F27">
              <w:rPr>
                <w:rFonts w:ascii="Times New Roman" w:hAnsi="Times New Roman" w:cs="Times New Roman"/>
                <w:b/>
                <w:sz w:val="28"/>
                <w:szCs w:val="28"/>
              </w:rPr>
              <w:t>Quỹ Cộng đồng</w:t>
            </w:r>
          </w:p>
          <w:p w14:paraId="37764A08" w14:textId="77777777" w:rsidR="009B1490" w:rsidRPr="00313F27" w:rsidRDefault="009B1490" w:rsidP="00650441">
            <w:pPr>
              <w:spacing w:before="120" w:after="120"/>
              <w:jc w:val="both"/>
              <w:rPr>
                <w:rFonts w:ascii="Times New Roman" w:hAnsi="Times New Roman" w:cs="Times New Roman"/>
                <w:bCs/>
                <w:sz w:val="28"/>
                <w:szCs w:val="28"/>
              </w:rPr>
            </w:pPr>
            <w:r w:rsidRPr="00313F27">
              <w:rPr>
                <w:rFonts w:ascii="Times New Roman" w:hAnsi="Times New Roman" w:cs="Times New Roman"/>
                <w:bCs/>
                <w:sz w:val="28"/>
                <w:szCs w:val="28"/>
              </w:rPr>
              <w:t>Chưa có quy định đối với chi phí thuê nhân sự ngoài</w:t>
            </w:r>
          </w:p>
        </w:tc>
        <w:tc>
          <w:tcPr>
            <w:tcW w:w="7163" w:type="dxa"/>
          </w:tcPr>
          <w:p w14:paraId="5002D6C4" w14:textId="77777777" w:rsidR="009B1490" w:rsidRPr="00313F27" w:rsidRDefault="009B1490" w:rsidP="00650441">
            <w:pPr>
              <w:pStyle w:val="ListParagraph"/>
              <w:numPr>
                <w:ilvl w:val="0"/>
                <w:numId w:val="7"/>
              </w:numPr>
              <w:spacing w:after="200" w:line="312" w:lineRule="auto"/>
              <w:ind w:left="415"/>
              <w:jc w:val="both"/>
              <w:rPr>
                <w:rFonts w:ascii="Times New Roman" w:hAnsi="Times New Roman" w:cs="Times New Roman"/>
                <w:color w:val="FF0000"/>
                <w:sz w:val="28"/>
                <w:szCs w:val="28"/>
                <w:lang w:val="vi-VN"/>
              </w:rPr>
            </w:pPr>
            <w:r w:rsidRPr="00313F27">
              <w:rPr>
                <w:rFonts w:ascii="Times New Roman" w:hAnsi="Times New Roman" w:cs="Times New Roman"/>
                <w:color w:val="FF0000"/>
                <w:sz w:val="28"/>
                <w:szCs w:val="28"/>
                <w:lang w:val="vi-VN"/>
              </w:rPr>
              <w:t xml:space="preserve">Khoản thù lao không chi do TVBQT </w:t>
            </w:r>
            <w:r w:rsidRPr="00313F27">
              <w:rPr>
                <w:rFonts w:ascii="Times New Roman" w:hAnsi="Times New Roman" w:cs="Times New Roman"/>
                <w:color w:val="FF0000"/>
                <w:sz w:val="28"/>
                <w:szCs w:val="28"/>
              </w:rPr>
              <w:t>xin thôi</w:t>
            </w:r>
            <w:r w:rsidRPr="00313F27">
              <w:rPr>
                <w:rFonts w:ascii="Times New Roman" w:hAnsi="Times New Roman" w:cs="Times New Roman"/>
                <w:color w:val="FF0000"/>
                <w:sz w:val="28"/>
                <w:szCs w:val="28"/>
                <w:lang w:val="vi-VN"/>
              </w:rPr>
              <w:t xml:space="preserve"> </w:t>
            </w:r>
            <w:r w:rsidRPr="00313F27">
              <w:rPr>
                <w:rFonts w:ascii="Times New Roman" w:hAnsi="Times New Roman" w:cs="Times New Roman"/>
                <w:color w:val="FF0000"/>
                <w:sz w:val="28"/>
                <w:szCs w:val="28"/>
              </w:rPr>
              <w:t xml:space="preserve">làm TVBQT </w:t>
            </w:r>
            <w:r w:rsidRPr="00313F27">
              <w:rPr>
                <w:rFonts w:ascii="Times New Roman" w:hAnsi="Times New Roman" w:cs="Times New Roman"/>
                <w:color w:val="FF0000"/>
                <w:sz w:val="28"/>
                <w:szCs w:val="28"/>
                <w:lang w:val="vi-VN"/>
              </w:rPr>
              <w:t>hoặc không đủ hoặc giảm số lượng TVBQT sẽ được dùng để chi trả cho thuê nhân sự ngoài</w:t>
            </w:r>
            <w:r w:rsidRPr="00313F27">
              <w:rPr>
                <w:rFonts w:ascii="Times New Roman" w:hAnsi="Times New Roman" w:cs="Times New Roman"/>
                <w:color w:val="FF0000"/>
                <w:sz w:val="28"/>
                <w:szCs w:val="28"/>
              </w:rPr>
              <w:t>.</w:t>
            </w:r>
          </w:p>
          <w:p w14:paraId="17F61072" w14:textId="77777777" w:rsidR="009B1490" w:rsidRPr="00313F27" w:rsidRDefault="009B1490" w:rsidP="00650441">
            <w:pPr>
              <w:pStyle w:val="ListParagraph"/>
              <w:numPr>
                <w:ilvl w:val="0"/>
                <w:numId w:val="7"/>
              </w:numPr>
              <w:spacing w:after="200" w:line="312" w:lineRule="auto"/>
              <w:ind w:left="415"/>
              <w:jc w:val="both"/>
              <w:rPr>
                <w:rFonts w:ascii="Times New Roman" w:hAnsi="Times New Roman" w:cs="Times New Roman"/>
                <w:color w:val="FF0000"/>
                <w:sz w:val="28"/>
                <w:szCs w:val="28"/>
                <w:lang w:val="vi-VN"/>
              </w:rPr>
            </w:pPr>
            <w:r w:rsidRPr="00313F27">
              <w:rPr>
                <w:rFonts w:ascii="Times New Roman" w:hAnsi="Times New Roman" w:cs="Times New Roman"/>
                <w:color w:val="FF0000"/>
                <w:sz w:val="28"/>
                <w:szCs w:val="28"/>
                <w:lang w:val="vi-VN"/>
              </w:rPr>
              <w:t>Chi phí thuê nhân sự không được vượt quá 40tr/tháng cho 3 nhân sự (1 kế toán</w:t>
            </w:r>
            <w:r w:rsidRPr="00313F27">
              <w:rPr>
                <w:rFonts w:ascii="Times New Roman" w:hAnsi="Times New Roman" w:cs="Times New Roman"/>
                <w:color w:val="FF0000"/>
                <w:sz w:val="28"/>
                <w:szCs w:val="28"/>
              </w:rPr>
              <w:t xml:space="preserve"> kiêm hành chính</w:t>
            </w:r>
            <w:r w:rsidRPr="00313F27">
              <w:rPr>
                <w:rFonts w:ascii="Times New Roman" w:hAnsi="Times New Roman" w:cs="Times New Roman"/>
                <w:color w:val="FF0000"/>
                <w:sz w:val="28"/>
                <w:szCs w:val="28"/>
                <w:lang w:val="vi-VN"/>
              </w:rPr>
              <w:t xml:space="preserve"> + 2 kỹ thuật - nếu trường hợp cần 2 nhân sự kỹ thuật)</w:t>
            </w:r>
          </w:p>
        </w:tc>
      </w:tr>
      <w:tr w:rsidR="009B1490" w:rsidRPr="00313F27" w14:paraId="704B5E18" w14:textId="77777777" w:rsidTr="0078361D">
        <w:tc>
          <w:tcPr>
            <w:tcW w:w="1648" w:type="dxa"/>
            <w:vAlign w:val="center"/>
          </w:tcPr>
          <w:p w14:paraId="4CC9DC72" w14:textId="77777777" w:rsidR="009B1490" w:rsidRPr="00313F27" w:rsidRDefault="009B1490" w:rsidP="00650441">
            <w:pPr>
              <w:tabs>
                <w:tab w:val="left" w:pos="5526"/>
              </w:tabs>
              <w:rPr>
                <w:rFonts w:ascii="Times New Roman" w:hAnsi="Times New Roman" w:cs="Times New Roman"/>
                <w:b/>
                <w:sz w:val="28"/>
                <w:szCs w:val="28"/>
              </w:rPr>
            </w:pPr>
            <w:r w:rsidRPr="00313F27">
              <w:rPr>
                <w:rFonts w:ascii="Times New Roman" w:hAnsi="Times New Roman" w:cs="Times New Roman"/>
                <w:b/>
                <w:sz w:val="28"/>
                <w:szCs w:val="28"/>
              </w:rPr>
              <w:t>Điều 11.3</w:t>
            </w:r>
          </w:p>
        </w:tc>
        <w:tc>
          <w:tcPr>
            <w:tcW w:w="4779" w:type="dxa"/>
            <w:vAlign w:val="center"/>
          </w:tcPr>
          <w:p w14:paraId="771ADB8D" w14:textId="77777777" w:rsidR="009B1490" w:rsidRPr="00313F27" w:rsidRDefault="009B1490" w:rsidP="00650441">
            <w:pPr>
              <w:spacing w:before="120" w:after="120"/>
              <w:jc w:val="both"/>
              <w:rPr>
                <w:rFonts w:ascii="Times New Roman" w:hAnsi="Times New Roman" w:cs="Times New Roman"/>
                <w:bCs/>
                <w:sz w:val="28"/>
                <w:szCs w:val="28"/>
              </w:rPr>
            </w:pPr>
            <w:r w:rsidRPr="00313F27">
              <w:rPr>
                <w:rFonts w:ascii="Times New Roman" w:hAnsi="Times New Roman" w:cs="Times New Roman"/>
                <w:bCs/>
                <w:sz w:val="28"/>
                <w:szCs w:val="28"/>
              </w:rPr>
              <w:t xml:space="preserve">11.3 Ban Quản trị có trách nhiệm thực hiện hoặc phối hợp với Đơn vị quản lý tổ chức lựa chọn Nhà thầu thực hiện bảo trì Các Hạng mục bảo trì, cụ thể như sau: </w:t>
            </w:r>
          </w:p>
          <w:p w14:paraId="5C659DC4" w14:textId="77777777" w:rsidR="009B1490" w:rsidRPr="00313F27" w:rsidRDefault="009B1490" w:rsidP="00650441">
            <w:pPr>
              <w:spacing w:before="120" w:after="120"/>
              <w:jc w:val="both"/>
              <w:rPr>
                <w:rFonts w:ascii="Times New Roman" w:hAnsi="Times New Roman" w:cs="Times New Roman"/>
                <w:bCs/>
                <w:sz w:val="28"/>
                <w:szCs w:val="28"/>
              </w:rPr>
            </w:pPr>
            <w:r w:rsidRPr="00313F27">
              <w:rPr>
                <w:rFonts w:ascii="Times New Roman" w:hAnsi="Times New Roman" w:cs="Times New Roman"/>
                <w:bCs/>
                <w:sz w:val="28"/>
                <w:szCs w:val="28"/>
              </w:rPr>
              <w:t xml:space="preserve">11.3.1. Hình thức lựa chọn nhà thầu: Ban Quản trị có quyền và tổ chức thực hiện: </w:t>
            </w:r>
          </w:p>
          <w:p w14:paraId="4162579F" w14:textId="77777777" w:rsidR="009B1490" w:rsidRPr="00313F27" w:rsidRDefault="009B1490" w:rsidP="00650441">
            <w:pPr>
              <w:spacing w:before="120" w:after="120"/>
              <w:jc w:val="both"/>
              <w:rPr>
                <w:rFonts w:ascii="Times New Roman" w:hAnsi="Times New Roman" w:cs="Times New Roman"/>
                <w:bCs/>
                <w:sz w:val="28"/>
                <w:szCs w:val="28"/>
              </w:rPr>
            </w:pPr>
            <w:r w:rsidRPr="00313F27">
              <w:rPr>
                <w:rFonts w:ascii="Times New Roman" w:hAnsi="Times New Roman" w:cs="Times New Roman"/>
                <w:bCs/>
                <w:sz w:val="28"/>
                <w:szCs w:val="28"/>
              </w:rPr>
              <w:lastRenderedPageBreak/>
              <w:t xml:space="preserve">a. Bắt buộc đấu thầu: Các chi phí bảo trì Các Hạng mục bảo trì hoặc Sửa chữa/Thay thế có giá trị từ 50.000.000 VNĐ (Năm mươi triệu) trở lên; </w:t>
            </w:r>
          </w:p>
          <w:p w14:paraId="74C84C6B" w14:textId="77777777" w:rsidR="009B1490" w:rsidRPr="00313F27" w:rsidRDefault="009B1490" w:rsidP="00650441">
            <w:pPr>
              <w:spacing w:before="120" w:after="120"/>
              <w:jc w:val="both"/>
              <w:rPr>
                <w:rFonts w:ascii="Times New Roman" w:hAnsi="Times New Roman" w:cs="Times New Roman"/>
                <w:bCs/>
                <w:sz w:val="28"/>
                <w:szCs w:val="28"/>
              </w:rPr>
            </w:pPr>
            <w:r w:rsidRPr="00313F27">
              <w:rPr>
                <w:rFonts w:ascii="Times New Roman" w:hAnsi="Times New Roman" w:cs="Times New Roman"/>
                <w:bCs/>
                <w:sz w:val="28"/>
                <w:szCs w:val="28"/>
              </w:rPr>
              <w:t xml:space="preserve">Chào giá cạnh tranh: Các chỉ phí bảo trì Các Hạng mục bảo trì có giá trị dưới 50.000.000 VNĐ (Năm mươi triệu); </w:t>
            </w:r>
          </w:p>
          <w:p w14:paraId="4328A706" w14:textId="77777777" w:rsidR="009B1490" w:rsidRPr="00313F27" w:rsidRDefault="009B1490" w:rsidP="00650441">
            <w:pPr>
              <w:spacing w:before="120" w:after="120"/>
              <w:jc w:val="both"/>
              <w:rPr>
                <w:rFonts w:ascii="Times New Roman" w:hAnsi="Times New Roman" w:cs="Times New Roman"/>
                <w:bCs/>
                <w:sz w:val="28"/>
                <w:szCs w:val="28"/>
              </w:rPr>
            </w:pPr>
            <w:r w:rsidRPr="00313F27">
              <w:rPr>
                <w:rFonts w:ascii="Times New Roman" w:hAnsi="Times New Roman" w:cs="Times New Roman"/>
                <w:bCs/>
                <w:sz w:val="28"/>
                <w:szCs w:val="28"/>
              </w:rPr>
              <w:t xml:space="preserve">b. Lấy báo giá cạnh tranh: Các chỉ phí bảo trì Các Hạng mục bảo trì có giá trị dưới 50.000.000 VNĐ (Năm mươi triệu), nhà thầu phải trình bày phương án thay thể, sửa chữa bảo trì với BQT, việc lựa chọn nhà thầu theo hình thức này được thống nhất bằng hình thức biểu quyết với tỷ lệ từ 75% thành viên BQT tán thành. </w:t>
            </w:r>
          </w:p>
          <w:p w14:paraId="099C584A" w14:textId="77777777" w:rsidR="009B1490" w:rsidRPr="00313F27" w:rsidRDefault="009B1490" w:rsidP="00650441">
            <w:pPr>
              <w:spacing w:before="120" w:after="120"/>
              <w:jc w:val="both"/>
              <w:rPr>
                <w:rFonts w:ascii="Times New Roman" w:hAnsi="Times New Roman" w:cs="Times New Roman"/>
                <w:bCs/>
                <w:sz w:val="28"/>
                <w:szCs w:val="28"/>
              </w:rPr>
            </w:pPr>
            <w:r w:rsidRPr="00313F27">
              <w:rPr>
                <w:rFonts w:ascii="Times New Roman" w:hAnsi="Times New Roman" w:cs="Times New Roman"/>
                <w:bCs/>
                <w:sz w:val="28"/>
                <w:szCs w:val="28"/>
              </w:rPr>
              <w:t xml:space="preserve">c. Trong trường hợp khần cấp, vì lý do cứu hộ cứu nạn và các nguyên nhân sự số, lý do bất khả kháng được công nhận hoặc theo yêu cầu của Cơ quan chức năng có thẩm quyền thì Ban Quản trị có quyền chỉ định Nhà cung cấp/ Nhà thầu ngay lập tức, duyệt chỉ và sử dụng kinh phí từ Quỹ Bảo trì sử dụng cho các công việc/ lý do đó mà không cân duyệt qua Hội nghị Nhà Chung cư. Tuy nhiên, trong vòng 07 ngày sau khi thực hiện </w:t>
            </w:r>
            <w:r w:rsidRPr="00313F27">
              <w:rPr>
                <w:rFonts w:ascii="Times New Roman" w:hAnsi="Times New Roman" w:cs="Times New Roman"/>
                <w:bCs/>
                <w:sz w:val="28"/>
                <w:szCs w:val="28"/>
              </w:rPr>
              <w:lastRenderedPageBreak/>
              <w:t>xong công việc, Ban Quản trị phải có báo cáo công khai tới toàn thể Chủ Sở hữu bằng hình thức văn bản niêm yết tại Bảng thông tin/Website/Zalo Tòa, đồng thời tổng hợp và báo cáo tại Hội nghị Nhà Chung cư gần nhất.</w:t>
            </w:r>
          </w:p>
        </w:tc>
        <w:tc>
          <w:tcPr>
            <w:tcW w:w="7163" w:type="dxa"/>
          </w:tcPr>
          <w:p w14:paraId="4DF3D0D2" w14:textId="77777777" w:rsidR="009B1490" w:rsidRPr="00313F27" w:rsidRDefault="009B1490" w:rsidP="00650441">
            <w:pPr>
              <w:widowControl w:val="0"/>
              <w:spacing w:line="288" w:lineRule="auto"/>
              <w:jc w:val="both"/>
              <w:outlineLvl w:val="1"/>
              <w:rPr>
                <w:rStyle w:val="fontstyle01"/>
                <w:rFonts w:ascii="Times New Roman" w:hAnsi="Times New Roman" w:cs="Times New Roman"/>
                <w:b/>
                <w:bCs/>
                <w:color w:val="EE0000"/>
                <w:sz w:val="28"/>
                <w:szCs w:val="28"/>
                <w:lang w:val="vi-VN"/>
              </w:rPr>
            </w:pPr>
            <w:r w:rsidRPr="00313F27">
              <w:rPr>
                <w:rStyle w:val="fontstyle01"/>
                <w:rFonts w:ascii="Times New Roman" w:hAnsi="Times New Roman" w:cs="Times New Roman"/>
                <w:b/>
                <w:bCs/>
                <w:color w:val="EE0000"/>
                <w:sz w:val="28"/>
                <w:szCs w:val="28"/>
                <w:lang w:val="vi-VN"/>
              </w:rPr>
              <w:lastRenderedPageBreak/>
              <w:t>Sửa đổi, Bổ sung như sau:</w:t>
            </w:r>
          </w:p>
          <w:p w14:paraId="1D9EDC23" w14:textId="77777777" w:rsidR="009B1490" w:rsidRPr="00313F27" w:rsidRDefault="009B1490" w:rsidP="00650441">
            <w:pPr>
              <w:tabs>
                <w:tab w:val="left" w:pos="4086"/>
              </w:tabs>
              <w:spacing w:line="312" w:lineRule="auto"/>
              <w:jc w:val="both"/>
              <w:rPr>
                <w:rFonts w:ascii="Times New Roman" w:hAnsi="Times New Roman" w:cs="Times New Roman"/>
                <w:color w:val="EE0000"/>
                <w:sz w:val="28"/>
                <w:szCs w:val="28"/>
                <w:lang w:val="vi-VN"/>
              </w:rPr>
            </w:pPr>
            <w:r w:rsidRPr="00313F27">
              <w:rPr>
                <w:rFonts w:ascii="Times New Roman" w:hAnsi="Times New Roman" w:cs="Times New Roman"/>
                <w:color w:val="EE0000"/>
                <w:sz w:val="28"/>
                <w:szCs w:val="28"/>
                <w:lang w:val="vi-VN"/>
              </w:rPr>
              <w:t xml:space="preserve">Ban Quản trị có trách nhiệm hoặc phối hợp với Công Ty Quản Lý </w:t>
            </w:r>
            <w:r w:rsidRPr="00313F27">
              <w:rPr>
                <w:rFonts w:ascii="Times New Roman" w:hAnsi="Times New Roman" w:cs="Times New Roman"/>
                <w:color w:val="EE0000"/>
                <w:sz w:val="28"/>
                <w:szCs w:val="28"/>
              </w:rPr>
              <w:t>vận</w:t>
            </w:r>
            <w:r w:rsidRPr="00313F27">
              <w:rPr>
                <w:rFonts w:ascii="Times New Roman" w:hAnsi="Times New Roman" w:cs="Times New Roman"/>
                <w:color w:val="EE0000"/>
                <w:sz w:val="28"/>
                <w:szCs w:val="28"/>
                <w:lang w:val="vi-VN"/>
              </w:rPr>
              <w:t xml:space="preserve"> dụng</w:t>
            </w:r>
            <w:r w:rsidRPr="00313F27">
              <w:rPr>
                <w:rFonts w:ascii="Times New Roman" w:hAnsi="Times New Roman" w:cs="Times New Roman"/>
                <w:color w:val="EE0000"/>
                <w:sz w:val="28"/>
                <w:szCs w:val="28"/>
              </w:rPr>
              <w:t xml:space="preserve"> linh hoạt</w:t>
            </w:r>
            <w:r w:rsidRPr="00313F27">
              <w:rPr>
                <w:rFonts w:ascii="Times New Roman" w:hAnsi="Times New Roman" w:cs="Times New Roman"/>
                <w:color w:val="EE0000"/>
                <w:sz w:val="28"/>
                <w:szCs w:val="28"/>
                <w:lang w:val="vi-VN"/>
              </w:rPr>
              <w:t xml:space="preserve"> Luật đấu thầu số 22/2023/QH15 của Quốc Hội NCHXHCN Việt Nam ban hành ngày 23 tháng 06 năm 2023; Nghị định số 24/2024/NĐ-CP của Thủ tướng Chính phủ ngày 27 tháng 2 năm 2024, để tổ chức lựa chọn nhà thầu </w:t>
            </w:r>
            <w:r w:rsidRPr="00313F27">
              <w:rPr>
                <w:rFonts w:ascii="Times New Roman" w:hAnsi="Times New Roman" w:cs="Times New Roman"/>
                <w:color w:val="EE0000"/>
                <w:sz w:val="28"/>
                <w:szCs w:val="28"/>
                <w:lang w:val="vi-VN"/>
              </w:rPr>
              <w:lastRenderedPageBreak/>
              <w:t>tư vấn hoặc đơn vị thực hiện bảo trì các hạng mục bảo trì, cụ thể như sau:</w:t>
            </w:r>
          </w:p>
          <w:p w14:paraId="726FE801" w14:textId="77777777" w:rsidR="009B1490" w:rsidRPr="00313F27" w:rsidRDefault="009B1490" w:rsidP="00650441">
            <w:pPr>
              <w:pStyle w:val="ListParagraph"/>
              <w:numPr>
                <w:ilvl w:val="0"/>
                <w:numId w:val="5"/>
              </w:numPr>
              <w:tabs>
                <w:tab w:val="left" w:pos="4086"/>
              </w:tabs>
              <w:spacing w:after="200" w:line="312" w:lineRule="auto"/>
              <w:ind w:left="453"/>
              <w:jc w:val="both"/>
              <w:rPr>
                <w:rFonts w:ascii="Times New Roman" w:hAnsi="Times New Roman" w:cs="Times New Roman"/>
                <w:color w:val="EE0000"/>
                <w:sz w:val="28"/>
                <w:szCs w:val="28"/>
                <w:lang w:val="vi-VN"/>
              </w:rPr>
            </w:pPr>
            <w:r w:rsidRPr="00313F27">
              <w:rPr>
                <w:rFonts w:ascii="Times New Roman" w:hAnsi="Times New Roman" w:cs="Times New Roman"/>
                <w:color w:val="EE0000"/>
                <w:sz w:val="28"/>
                <w:szCs w:val="28"/>
                <w:lang w:val="vi-VN"/>
              </w:rPr>
              <w:t>Hình thức lựa chọn nhà thầu:</w:t>
            </w:r>
          </w:p>
          <w:p w14:paraId="4A245E88" w14:textId="77777777" w:rsidR="009B1490" w:rsidRPr="00313F27" w:rsidRDefault="009B1490" w:rsidP="00650441">
            <w:pPr>
              <w:pStyle w:val="ListParagraph"/>
              <w:numPr>
                <w:ilvl w:val="0"/>
                <w:numId w:val="1"/>
              </w:numPr>
              <w:tabs>
                <w:tab w:val="left" w:pos="4086"/>
              </w:tabs>
              <w:spacing w:after="200" w:line="312" w:lineRule="auto"/>
              <w:ind w:left="453" w:hanging="437"/>
              <w:jc w:val="both"/>
              <w:rPr>
                <w:rStyle w:val="fontstyle01"/>
                <w:rFonts w:ascii="Times New Roman" w:hAnsi="Times New Roman" w:cs="Times New Roman"/>
                <w:color w:val="EE0000"/>
                <w:sz w:val="28"/>
                <w:szCs w:val="28"/>
                <w:lang w:val="vi-VN"/>
              </w:rPr>
            </w:pPr>
            <w:r w:rsidRPr="00313F27">
              <w:rPr>
                <w:rFonts w:ascii="Times New Roman" w:hAnsi="Times New Roman" w:cs="Times New Roman"/>
                <w:color w:val="EE0000"/>
                <w:sz w:val="28"/>
                <w:szCs w:val="28"/>
              </w:rPr>
              <w:t>Đấu thầu rộng rãi</w:t>
            </w:r>
            <w:r w:rsidRPr="00313F27">
              <w:rPr>
                <w:rFonts w:ascii="Times New Roman" w:hAnsi="Times New Roman" w:cs="Times New Roman"/>
                <w:color w:val="EE0000"/>
                <w:sz w:val="28"/>
                <w:szCs w:val="28"/>
                <w:lang w:val="vi-VN"/>
              </w:rPr>
              <w:t xml:space="preserve">: Các hạng mục bảo trì có giá trị từ 500,000,000 VNĐ </w:t>
            </w:r>
            <w:r w:rsidRPr="00313F27">
              <w:rPr>
                <w:rFonts w:ascii="Times New Roman" w:hAnsi="Times New Roman" w:cs="Times New Roman"/>
                <w:i/>
                <w:color w:val="EE0000"/>
                <w:sz w:val="28"/>
                <w:szCs w:val="28"/>
                <w:lang w:val="vi-VN"/>
              </w:rPr>
              <w:t>(Bằng chữ: Năm trăm triệu đồng)</w:t>
            </w:r>
            <w:r w:rsidRPr="00313F27">
              <w:rPr>
                <w:rFonts w:ascii="Times New Roman" w:hAnsi="Times New Roman" w:cs="Times New Roman"/>
                <w:color w:val="EE0000"/>
                <w:sz w:val="28"/>
                <w:szCs w:val="28"/>
                <w:lang w:val="vi-VN"/>
              </w:rPr>
              <w:t xml:space="preserve"> trở lên;</w:t>
            </w:r>
          </w:p>
        </w:tc>
      </w:tr>
      <w:tr w:rsidR="009B1490" w:rsidRPr="00313F27" w14:paraId="659A4655" w14:textId="77777777" w:rsidTr="0078361D">
        <w:tc>
          <w:tcPr>
            <w:tcW w:w="1648" w:type="dxa"/>
            <w:vAlign w:val="center"/>
          </w:tcPr>
          <w:p w14:paraId="1665C4FE" w14:textId="77777777" w:rsidR="009B1490" w:rsidRPr="00313F27" w:rsidRDefault="009B1490" w:rsidP="00650441">
            <w:pPr>
              <w:tabs>
                <w:tab w:val="left" w:pos="5526"/>
              </w:tabs>
              <w:rPr>
                <w:rFonts w:ascii="Times New Roman" w:hAnsi="Times New Roman" w:cs="Times New Roman"/>
                <w:b/>
                <w:sz w:val="28"/>
                <w:szCs w:val="28"/>
              </w:rPr>
            </w:pPr>
          </w:p>
        </w:tc>
        <w:tc>
          <w:tcPr>
            <w:tcW w:w="4779" w:type="dxa"/>
            <w:vAlign w:val="center"/>
          </w:tcPr>
          <w:p w14:paraId="59430AEE" w14:textId="77777777" w:rsidR="009B1490" w:rsidRPr="00313F27" w:rsidRDefault="009B1490" w:rsidP="00650441">
            <w:pPr>
              <w:spacing w:before="120" w:after="120"/>
              <w:jc w:val="both"/>
              <w:rPr>
                <w:rFonts w:ascii="Times New Roman" w:hAnsi="Times New Roman" w:cs="Times New Roman"/>
                <w:bCs/>
                <w:sz w:val="28"/>
                <w:szCs w:val="28"/>
              </w:rPr>
            </w:pPr>
          </w:p>
        </w:tc>
        <w:tc>
          <w:tcPr>
            <w:tcW w:w="7163" w:type="dxa"/>
          </w:tcPr>
          <w:p w14:paraId="7C073150" w14:textId="77777777" w:rsidR="009B1490" w:rsidRPr="00313F27" w:rsidRDefault="009B1490" w:rsidP="00650441">
            <w:pPr>
              <w:tabs>
                <w:tab w:val="left" w:pos="4086"/>
              </w:tabs>
              <w:spacing w:after="200" w:line="312" w:lineRule="auto"/>
              <w:contextualSpacing/>
              <w:jc w:val="both"/>
              <w:rPr>
                <w:rFonts w:ascii="Times New Roman" w:hAnsi="Times New Roman" w:cs="Times New Roman"/>
                <w:color w:val="EE0000"/>
                <w:sz w:val="28"/>
                <w:szCs w:val="28"/>
                <w:lang w:val="vi-VN"/>
              </w:rPr>
            </w:pPr>
            <w:r w:rsidRPr="00313F27">
              <w:rPr>
                <w:rFonts w:ascii="Times New Roman" w:hAnsi="Times New Roman" w:cs="Times New Roman"/>
                <w:color w:val="EE0000"/>
                <w:sz w:val="28"/>
                <w:szCs w:val="28"/>
                <w:lang w:val="vi-VN"/>
              </w:rPr>
              <w:t xml:space="preserve">Chào hàng cạnh tranh: Các hạng mục bảo trì có giá trị từ 50,000,000 VNĐ </w:t>
            </w:r>
            <w:r w:rsidRPr="00313F27">
              <w:rPr>
                <w:rFonts w:ascii="Times New Roman" w:hAnsi="Times New Roman" w:cs="Times New Roman"/>
                <w:i/>
                <w:color w:val="EE0000"/>
                <w:sz w:val="28"/>
                <w:szCs w:val="28"/>
                <w:lang w:val="vi-VN"/>
              </w:rPr>
              <w:t>(Bằng chữ: Năm mươi triệu đồng)</w:t>
            </w:r>
            <w:r w:rsidRPr="00313F27">
              <w:rPr>
                <w:rFonts w:ascii="Times New Roman" w:hAnsi="Times New Roman" w:cs="Times New Roman"/>
                <w:color w:val="EE0000"/>
                <w:sz w:val="28"/>
                <w:szCs w:val="28"/>
                <w:lang w:val="vi-VN"/>
              </w:rPr>
              <w:t xml:space="preserve"> đến dưới 500,000,000VNĐ </w:t>
            </w:r>
            <w:r w:rsidRPr="00313F27">
              <w:rPr>
                <w:rFonts w:ascii="Times New Roman" w:hAnsi="Times New Roman" w:cs="Times New Roman"/>
                <w:i/>
                <w:color w:val="EE0000"/>
                <w:sz w:val="28"/>
                <w:szCs w:val="28"/>
                <w:lang w:val="vi-VN"/>
              </w:rPr>
              <w:t>(Bằng chữ: Năm trăm triệu đồng)</w:t>
            </w:r>
            <w:r w:rsidRPr="00313F27">
              <w:rPr>
                <w:rFonts w:ascii="Times New Roman" w:hAnsi="Times New Roman" w:cs="Times New Roman"/>
                <w:color w:val="EE0000"/>
                <w:sz w:val="28"/>
                <w:szCs w:val="28"/>
                <w:lang w:val="vi-VN"/>
              </w:rPr>
              <w:t>;</w:t>
            </w:r>
          </w:p>
          <w:p w14:paraId="3AFBB6A2" w14:textId="77777777" w:rsidR="009B1490" w:rsidRPr="00313F27" w:rsidRDefault="009B1490" w:rsidP="00650441">
            <w:pPr>
              <w:widowControl w:val="0"/>
              <w:spacing w:line="288" w:lineRule="auto"/>
              <w:jc w:val="both"/>
              <w:outlineLvl w:val="1"/>
              <w:rPr>
                <w:rStyle w:val="fontstyle01"/>
                <w:rFonts w:ascii="Times New Roman" w:hAnsi="Times New Roman" w:cs="Times New Roman"/>
                <w:b/>
                <w:bCs/>
                <w:color w:val="EE0000"/>
                <w:sz w:val="28"/>
                <w:szCs w:val="28"/>
                <w:lang w:val="vi-VN"/>
              </w:rPr>
            </w:pPr>
          </w:p>
        </w:tc>
      </w:tr>
      <w:tr w:rsidR="009B1490" w:rsidRPr="00313F27" w14:paraId="193EA354" w14:textId="77777777" w:rsidTr="0078361D">
        <w:tc>
          <w:tcPr>
            <w:tcW w:w="1648" w:type="dxa"/>
            <w:vAlign w:val="center"/>
          </w:tcPr>
          <w:p w14:paraId="6A8910C7" w14:textId="77777777" w:rsidR="009B1490" w:rsidRPr="00313F27" w:rsidRDefault="009B1490" w:rsidP="00650441">
            <w:pPr>
              <w:tabs>
                <w:tab w:val="left" w:pos="5526"/>
              </w:tabs>
              <w:rPr>
                <w:rFonts w:ascii="Times New Roman" w:hAnsi="Times New Roman" w:cs="Times New Roman"/>
                <w:b/>
                <w:sz w:val="28"/>
                <w:szCs w:val="28"/>
              </w:rPr>
            </w:pPr>
          </w:p>
        </w:tc>
        <w:tc>
          <w:tcPr>
            <w:tcW w:w="4779" w:type="dxa"/>
            <w:vAlign w:val="center"/>
          </w:tcPr>
          <w:p w14:paraId="2755A3B2" w14:textId="77777777" w:rsidR="009B1490" w:rsidRPr="00313F27" w:rsidRDefault="009B1490" w:rsidP="00650441">
            <w:pPr>
              <w:spacing w:before="120" w:after="120"/>
              <w:jc w:val="both"/>
              <w:rPr>
                <w:rFonts w:ascii="Times New Roman" w:hAnsi="Times New Roman" w:cs="Times New Roman"/>
                <w:bCs/>
                <w:sz w:val="28"/>
                <w:szCs w:val="28"/>
              </w:rPr>
            </w:pPr>
          </w:p>
        </w:tc>
        <w:tc>
          <w:tcPr>
            <w:tcW w:w="7163" w:type="dxa"/>
          </w:tcPr>
          <w:p w14:paraId="1B75B1BE" w14:textId="77777777" w:rsidR="009B1490" w:rsidRPr="00313F27" w:rsidRDefault="009B1490" w:rsidP="00650441">
            <w:pPr>
              <w:tabs>
                <w:tab w:val="left" w:pos="4086"/>
              </w:tabs>
              <w:spacing w:after="200" w:line="312" w:lineRule="auto"/>
              <w:contextualSpacing/>
              <w:jc w:val="both"/>
              <w:rPr>
                <w:rFonts w:ascii="Times New Roman" w:hAnsi="Times New Roman" w:cs="Times New Roman"/>
                <w:color w:val="EE0000"/>
                <w:sz w:val="28"/>
                <w:szCs w:val="28"/>
                <w:lang w:val="vi-VN"/>
              </w:rPr>
            </w:pPr>
            <w:r w:rsidRPr="00313F27">
              <w:rPr>
                <w:rFonts w:ascii="Times New Roman" w:hAnsi="Times New Roman" w:cs="Times New Roman"/>
                <w:color w:val="EE0000"/>
                <w:sz w:val="28"/>
                <w:szCs w:val="28"/>
                <w:lang w:val="vi-VN"/>
              </w:rPr>
              <w:t xml:space="preserve">Lấy báo giá cạnh tranh: Các hạng mục bảo trì có giá trị từ 10,000,000VNĐ </w:t>
            </w:r>
            <w:r w:rsidRPr="00313F27">
              <w:rPr>
                <w:rFonts w:ascii="Times New Roman" w:hAnsi="Times New Roman" w:cs="Times New Roman"/>
                <w:i/>
                <w:color w:val="EE0000"/>
                <w:sz w:val="28"/>
                <w:szCs w:val="28"/>
                <w:lang w:val="vi-VN"/>
              </w:rPr>
              <w:t>(Bằng chữ: Mười triệu đồng)</w:t>
            </w:r>
            <w:r w:rsidRPr="00313F27">
              <w:rPr>
                <w:rFonts w:ascii="Times New Roman" w:hAnsi="Times New Roman" w:cs="Times New Roman"/>
                <w:color w:val="EE0000"/>
                <w:sz w:val="28"/>
                <w:szCs w:val="28"/>
                <w:lang w:val="vi-VN"/>
              </w:rPr>
              <w:t xml:space="preserve"> đến 50,000,000VNĐ </w:t>
            </w:r>
            <w:r w:rsidRPr="00313F27">
              <w:rPr>
                <w:rFonts w:ascii="Times New Roman" w:hAnsi="Times New Roman" w:cs="Times New Roman"/>
                <w:i/>
                <w:color w:val="EE0000"/>
                <w:sz w:val="28"/>
                <w:szCs w:val="28"/>
                <w:lang w:val="vi-VN"/>
              </w:rPr>
              <w:t>(Bằng chữ: Năm mươi triệu đồng)</w:t>
            </w:r>
            <w:r w:rsidRPr="00313F27">
              <w:rPr>
                <w:rFonts w:ascii="Times New Roman" w:hAnsi="Times New Roman" w:cs="Times New Roman"/>
                <w:color w:val="EE0000"/>
                <w:sz w:val="28"/>
                <w:szCs w:val="28"/>
                <w:lang w:val="vi-VN"/>
              </w:rPr>
              <w:t xml:space="preserve"> (tối thiểu 03 báo giá);</w:t>
            </w:r>
          </w:p>
          <w:p w14:paraId="0D3083D8" w14:textId="77777777" w:rsidR="009B1490" w:rsidRPr="00313F27" w:rsidRDefault="009B1490" w:rsidP="00650441">
            <w:pPr>
              <w:widowControl w:val="0"/>
              <w:spacing w:line="288" w:lineRule="auto"/>
              <w:jc w:val="both"/>
              <w:outlineLvl w:val="1"/>
              <w:rPr>
                <w:rStyle w:val="fontstyle01"/>
                <w:rFonts w:ascii="Times New Roman" w:hAnsi="Times New Roman" w:cs="Times New Roman"/>
                <w:b/>
                <w:bCs/>
                <w:color w:val="EE0000"/>
                <w:sz w:val="28"/>
                <w:szCs w:val="28"/>
                <w:lang w:val="vi-VN"/>
              </w:rPr>
            </w:pPr>
          </w:p>
        </w:tc>
      </w:tr>
      <w:tr w:rsidR="009B1490" w:rsidRPr="00313F27" w14:paraId="50F67B0F" w14:textId="77777777" w:rsidTr="0078361D">
        <w:tc>
          <w:tcPr>
            <w:tcW w:w="1648" w:type="dxa"/>
            <w:vAlign w:val="center"/>
          </w:tcPr>
          <w:p w14:paraId="130C874A" w14:textId="77777777" w:rsidR="009B1490" w:rsidRPr="00313F27" w:rsidRDefault="009B1490" w:rsidP="00650441">
            <w:pPr>
              <w:tabs>
                <w:tab w:val="left" w:pos="5526"/>
              </w:tabs>
              <w:rPr>
                <w:rFonts w:ascii="Times New Roman" w:hAnsi="Times New Roman" w:cs="Times New Roman"/>
                <w:b/>
                <w:sz w:val="28"/>
                <w:szCs w:val="28"/>
              </w:rPr>
            </w:pPr>
          </w:p>
        </w:tc>
        <w:tc>
          <w:tcPr>
            <w:tcW w:w="4779" w:type="dxa"/>
            <w:vAlign w:val="center"/>
          </w:tcPr>
          <w:p w14:paraId="62AED715" w14:textId="77777777" w:rsidR="009B1490" w:rsidRPr="00313F27" w:rsidRDefault="009B1490" w:rsidP="00650441">
            <w:pPr>
              <w:spacing w:before="120" w:after="120"/>
              <w:jc w:val="both"/>
              <w:rPr>
                <w:rFonts w:ascii="Times New Roman" w:hAnsi="Times New Roman" w:cs="Times New Roman"/>
                <w:bCs/>
                <w:sz w:val="28"/>
                <w:szCs w:val="28"/>
              </w:rPr>
            </w:pPr>
          </w:p>
        </w:tc>
        <w:tc>
          <w:tcPr>
            <w:tcW w:w="7163" w:type="dxa"/>
          </w:tcPr>
          <w:p w14:paraId="687E191E" w14:textId="77777777" w:rsidR="009B1490" w:rsidRPr="00313F27" w:rsidRDefault="009B1490" w:rsidP="00650441">
            <w:pPr>
              <w:tabs>
                <w:tab w:val="left" w:pos="4086"/>
              </w:tabs>
              <w:spacing w:after="200" w:line="312" w:lineRule="auto"/>
              <w:contextualSpacing/>
              <w:jc w:val="both"/>
              <w:rPr>
                <w:rFonts w:ascii="Times New Roman" w:hAnsi="Times New Roman" w:cs="Times New Roman"/>
                <w:color w:val="EE0000"/>
                <w:sz w:val="28"/>
                <w:szCs w:val="28"/>
                <w:lang w:val="vi-VN"/>
              </w:rPr>
            </w:pPr>
            <w:r w:rsidRPr="00313F27">
              <w:rPr>
                <w:rFonts w:ascii="Times New Roman" w:hAnsi="Times New Roman" w:cs="Times New Roman"/>
                <w:color w:val="EE0000"/>
                <w:sz w:val="28"/>
                <w:szCs w:val="28"/>
                <w:lang w:val="vi-VN"/>
              </w:rPr>
              <w:t xml:space="preserve">Lấy báo giá: Các hạng mục bảo trì có giá trị dưới 10,000,000VNĐ </w:t>
            </w:r>
            <w:r w:rsidRPr="00313F27">
              <w:rPr>
                <w:rFonts w:ascii="Times New Roman" w:hAnsi="Times New Roman" w:cs="Times New Roman"/>
                <w:i/>
                <w:color w:val="EE0000"/>
                <w:sz w:val="28"/>
                <w:szCs w:val="28"/>
                <w:lang w:val="vi-VN"/>
              </w:rPr>
              <w:t>(Bằng chữ: Mười triệu đồng)</w:t>
            </w:r>
            <w:r w:rsidRPr="00313F27">
              <w:rPr>
                <w:rFonts w:ascii="Times New Roman" w:hAnsi="Times New Roman" w:cs="Times New Roman"/>
                <w:color w:val="EE0000"/>
                <w:sz w:val="28"/>
                <w:szCs w:val="28"/>
                <w:lang w:val="vi-VN"/>
              </w:rPr>
              <w:t>, (tối thiểu 01 báo giá, khuyến khích lấy từ 02 báo giá trở lên);</w:t>
            </w:r>
          </w:p>
          <w:p w14:paraId="48968198" w14:textId="77777777" w:rsidR="009B1490" w:rsidRPr="00313F27" w:rsidRDefault="009B1490" w:rsidP="00650441">
            <w:pPr>
              <w:widowControl w:val="0"/>
              <w:spacing w:line="288" w:lineRule="auto"/>
              <w:jc w:val="both"/>
              <w:outlineLvl w:val="1"/>
              <w:rPr>
                <w:rStyle w:val="fontstyle01"/>
                <w:rFonts w:ascii="Times New Roman" w:hAnsi="Times New Roman" w:cs="Times New Roman"/>
                <w:b/>
                <w:bCs/>
                <w:color w:val="EE0000"/>
                <w:sz w:val="28"/>
                <w:szCs w:val="28"/>
                <w:lang w:val="vi-VN"/>
              </w:rPr>
            </w:pPr>
          </w:p>
        </w:tc>
      </w:tr>
      <w:tr w:rsidR="009B1490" w:rsidRPr="00313F27" w14:paraId="27139B34" w14:textId="77777777" w:rsidTr="0078361D">
        <w:tc>
          <w:tcPr>
            <w:tcW w:w="1648" w:type="dxa"/>
            <w:vAlign w:val="center"/>
          </w:tcPr>
          <w:p w14:paraId="1ADBDC4C" w14:textId="77777777" w:rsidR="009B1490" w:rsidRPr="00313F27" w:rsidRDefault="009B1490" w:rsidP="00650441">
            <w:pPr>
              <w:tabs>
                <w:tab w:val="left" w:pos="5526"/>
              </w:tabs>
              <w:rPr>
                <w:rFonts w:ascii="Times New Roman" w:hAnsi="Times New Roman" w:cs="Times New Roman"/>
                <w:b/>
                <w:sz w:val="28"/>
                <w:szCs w:val="28"/>
              </w:rPr>
            </w:pPr>
          </w:p>
        </w:tc>
        <w:tc>
          <w:tcPr>
            <w:tcW w:w="4779" w:type="dxa"/>
            <w:vAlign w:val="center"/>
          </w:tcPr>
          <w:p w14:paraId="7F9F0E05" w14:textId="77777777" w:rsidR="009B1490" w:rsidRPr="00313F27" w:rsidRDefault="009B1490" w:rsidP="00650441">
            <w:pPr>
              <w:spacing w:before="120" w:after="120"/>
              <w:jc w:val="both"/>
              <w:rPr>
                <w:rFonts w:ascii="Times New Roman" w:hAnsi="Times New Roman" w:cs="Times New Roman"/>
                <w:bCs/>
                <w:sz w:val="28"/>
                <w:szCs w:val="28"/>
              </w:rPr>
            </w:pPr>
          </w:p>
        </w:tc>
        <w:tc>
          <w:tcPr>
            <w:tcW w:w="7163" w:type="dxa"/>
          </w:tcPr>
          <w:p w14:paraId="13E9E1C9" w14:textId="77777777" w:rsidR="009B1490" w:rsidRPr="00313F27" w:rsidRDefault="009B1490" w:rsidP="00650441">
            <w:pPr>
              <w:tabs>
                <w:tab w:val="left" w:pos="4086"/>
              </w:tabs>
              <w:spacing w:after="200" w:line="312" w:lineRule="auto"/>
              <w:contextualSpacing/>
              <w:jc w:val="both"/>
              <w:rPr>
                <w:rFonts w:ascii="Times New Roman" w:hAnsi="Times New Roman" w:cs="Times New Roman"/>
                <w:color w:val="EE0000"/>
                <w:sz w:val="28"/>
                <w:szCs w:val="28"/>
                <w:lang w:val="vi-VN"/>
              </w:rPr>
            </w:pPr>
            <w:r w:rsidRPr="00313F27">
              <w:rPr>
                <w:rFonts w:ascii="Times New Roman" w:hAnsi="Times New Roman" w:cs="Times New Roman"/>
                <w:color w:val="EE0000"/>
                <w:sz w:val="28"/>
                <w:szCs w:val="28"/>
              </w:rPr>
              <w:t>C</w:t>
            </w:r>
            <w:r w:rsidRPr="00313F27">
              <w:rPr>
                <w:rFonts w:ascii="Times New Roman" w:hAnsi="Times New Roman" w:cs="Times New Roman"/>
                <w:color w:val="EE0000"/>
                <w:sz w:val="28"/>
                <w:szCs w:val="28"/>
                <w:lang w:val="vi-VN"/>
              </w:rPr>
              <w:t>hỉ định thầu</w:t>
            </w:r>
            <w:r w:rsidRPr="00313F27">
              <w:rPr>
                <w:rFonts w:ascii="Times New Roman" w:hAnsi="Times New Roman" w:cs="Times New Roman"/>
                <w:color w:val="EE0000"/>
                <w:sz w:val="28"/>
                <w:szCs w:val="28"/>
              </w:rPr>
              <w:t>, đ</w:t>
            </w:r>
            <w:r w:rsidRPr="00313F27">
              <w:rPr>
                <w:rFonts w:ascii="Times New Roman" w:hAnsi="Times New Roman" w:cs="Times New Roman"/>
                <w:color w:val="EE0000"/>
                <w:sz w:val="28"/>
                <w:szCs w:val="28"/>
                <w:lang w:val="vi-VN"/>
              </w:rPr>
              <w:t>àm phán trực tiếp.</w:t>
            </w:r>
            <w:r w:rsidRPr="00313F27">
              <w:rPr>
                <w:rFonts w:ascii="Times New Roman" w:hAnsi="Times New Roman" w:cs="Times New Roman"/>
                <w:color w:val="EE0000"/>
                <w:sz w:val="28"/>
                <w:szCs w:val="28"/>
              </w:rPr>
              <w:t xml:space="preserve"> Áp dụng </w:t>
            </w:r>
            <w:r w:rsidRPr="00313F27">
              <w:rPr>
                <w:rFonts w:ascii="Times New Roman" w:hAnsi="Times New Roman" w:cs="Times New Roman"/>
                <w:color w:val="FF0000"/>
                <w:sz w:val="28"/>
                <w:szCs w:val="28"/>
              </w:rPr>
              <w:t xml:space="preserve">trong tình huống khẩn cấp là khi cần đảm bảo </w:t>
            </w:r>
            <w:r w:rsidRPr="00313F27">
              <w:rPr>
                <w:rFonts w:ascii="Times New Roman" w:hAnsi="Times New Roman" w:cs="Times New Roman"/>
                <w:b/>
                <w:bCs/>
                <w:color w:val="FF0000"/>
                <w:sz w:val="28"/>
                <w:szCs w:val="28"/>
              </w:rPr>
              <w:t xml:space="preserve">an toàn tính mạng, tài sản của </w:t>
            </w:r>
            <w:r w:rsidRPr="00313F27">
              <w:rPr>
                <w:rFonts w:ascii="Times New Roman" w:hAnsi="Times New Roman" w:cs="Times New Roman"/>
                <w:b/>
                <w:bCs/>
                <w:color w:val="FF0000"/>
                <w:sz w:val="28"/>
                <w:szCs w:val="28"/>
              </w:rPr>
              <w:lastRenderedPageBreak/>
              <w:t>cư dân</w:t>
            </w:r>
            <w:r w:rsidRPr="00313F27">
              <w:rPr>
                <w:rFonts w:ascii="Times New Roman" w:hAnsi="Times New Roman" w:cs="Times New Roman"/>
                <w:color w:val="FF0000"/>
                <w:sz w:val="28"/>
                <w:szCs w:val="28"/>
              </w:rPr>
              <w:t xml:space="preserve">, duy trì </w:t>
            </w:r>
            <w:r w:rsidRPr="00313F27">
              <w:rPr>
                <w:rFonts w:ascii="Times New Roman" w:hAnsi="Times New Roman" w:cs="Times New Roman"/>
                <w:b/>
                <w:bCs/>
                <w:color w:val="FF0000"/>
                <w:sz w:val="28"/>
                <w:szCs w:val="28"/>
              </w:rPr>
              <w:t>vận hành hệ thống kỹ thuật thiết yếu</w:t>
            </w:r>
            <w:r w:rsidRPr="00313F27">
              <w:rPr>
                <w:rFonts w:ascii="Times New Roman" w:hAnsi="Times New Roman" w:cs="Times New Roman"/>
                <w:color w:val="FF0000"/>
                <w:sz w:val="28"/>
                <w:szCs w:val="28"/>
              </w:rPr>
              <w:t xml:space="preserve">, và ngăn chặn sự cố lan rộng. </w:t>
            </w:r>
          </w:p>
          <w:p w14:paraId="0E879B30" w14:textId="77777777" w:rsidR="009B1490" w:rsidRPr="00313F27" w:rsidRDefault="009B1490" w:rsidP="00650441">
            <w:pPr>
              <w:pStyle w:val="ListParagraph"/>
              <w:numPr>
                <w:ilvl w:val="0"/>
                <w:numId w:val="3"/>
              </w:numPr>
              <w:spacing w:after="200" w:line="312" w:lineRule="auto"/>
              <w:jc w:val="both"/>
              <w:rPr>
                <w:rFonts w:ascii="Times New Roman" w:hAnsi="Times New Roman" w:cs="Times New Roman"/>
                <w:color w:val="FF0000"/>
                <w:sz w:val="28"/>
                <w:szCs w:val="28"/>
              </w:rPr>
            </w:pPr>
            <w:r w:rsidRPr="00313F27">
              <w:rPr>
                <w:rFonts w:ascii="Times New Roman" w:hAnsi="Times New Roman" w:cs="Times New Roman"/>
                <w:color w:val="FF0000"/>
                <w:sz w:val="28"/>
                <w:szCs w:val="28"/>
              </w:rPr>
              <w:t xml:space="preserve">Chỉ định thầu cho tình huống khẩn cấp chỉ khi: </w:t>
            </w:r>
          </w:p>
          <w:p w14:paraId="035938A3" w14:textId="77777777" w:rsidR="009B1490" w:rsidRPr="00313F27" w:rsidRDefault="009B1490" w:rsidP="00650441">
            <w:pPr>
              <w:pStyle w:val="ListParagraph"/>
              <w:numPr>
                <w:ilvl w:val="0"/>
                <w:numId w:val="4"/>
              </w:numPr>
              <w:spacing w:after="200" w:line="312" w:lineRule="auto"/>
              <w:jc w:val="both"/>
              <w:rPr>
                <w:rFonts w:ascii="Times New Roman" w:hAnsi="Times New Roman" w:cs="Times New Roman"/>
                <w:color w:val="FF0000"/>
                <w:sz w:val="28"/>
                <w:szCs w:val="28"/>
              </w:rPr>
            </w:pPr>
            <w:r w:rsidRPr="00313F27">
              <w:rPr>
                <w:rFonts w:ascii="Times New Roman" w:hAnsi="Times New Roman" w:cs="Times New Roman"/>
                <w:color w:val="FF0000"/>
                <w:sz w:val="28"/>
                <w:szCs w:val="28"/>
              </w:rPr>
              <w:t>Có bất kỳ sự cố nào trong nhà chung cư đe dọa trực tiếp đến tính mạng, tài sản, an toàn công trình, hoặc ảnh hưởng đến hệ thống kỹ thuật vận hành thiết yếu và ngăn chặn sự cố lan rộng.</w:t>
            </w:r>
          </w:p>
          <w:p w14:paraId="10DE8189" w14:textId="77777777" w:rsidR="009B1490" w:rsidRPr="00313F27" w:rsidRDefault="009B1490" w:rsidP="00650441">
            <w:pPr>
              <w:pStyle w:val="ListParagraph"/>
              <w:numPr>
                <w:ilvl w:val="0"/>
                <w:numId w:val="4"/>
              </w:numPr>
              <w:spacing w:after="200" w:line="312" w:lineRule="auto"/>
              <w:jc w:val="both"/>
              <w:rPr>
                <w:rFonts w:ascii="Times New Roman" w:hAnsi="Times New Roman" w:cs="Times New Roman"/>
                <w:color w:val="FF0000"/>
                <w:sz w:val="28"/>
                <w:szCs w:val="28"/>
              </w:rPr>
            </w:pPr>
            <w:r w:rsidRPr="00313F27">
              <w:rPr>
                <w:rFonts w:ascii="Times New Roman" w:hAnsi="Times New Roman" w:cs="Times New Roman"/>
                <w:color w:val="FF0000"/>
                <w:sz w:val="28"/>
                <w:szCs w:val="28"/>
              </w:rPr>
              <w:t>Phải có biên bản xác nhận tình huống khẩn cấp.</w:t>
            </w:r>
          </w:p>
          <w:p w14:paraId="431C20B6" w14:textId="77777777" w:rsidR="009B1490" w:rsidRPr="00313F27" w:rsidRDefault="009B1490" w:rsidP="00650441">
            <w:pPr>
              <w:pStyle w:val="ListParagraph"/>
              <w:numPr>
                <w:ilvl w:val="0"/>
                <w:numId w:val="4"/>
              </w:numPr>
              <w:spacing w:after="200" w:line="312" w:lineRule="auto"/>
              <w:jc w:val="both"/>
              <w:rPr>
                <w:rFonts w:ascii="Times New Roman" w:hAnsi="Times New Roman" w:cs="Times New Roman"/>
                <w:color w:val="FF0000"/>
                <w:sz w:val="28"/>
                <w:szCs w:val="28"/>
              </w:rPr>
            </w:pPr>
            <w:r w:rsidRPr="00313F27">
              <w:rPr>
                <w:rFonts w:ascii="Times New Roman" w:hAnsi="Times New Roman" w:cs="Times New Roman"/>
                <w:color w:val="FF0000"/>
                <w:sz w:val="28"/>
                <w:szCs w:val="28"/>
              </w:rPr>
              <w:t>Báo cáo và niêm yết công khai tới Cư dân theo quy định của Quy chế liên quan đến khẩn cấp.</w:t>
            </w:r>
          </w:p>
          <w:p w14:paraId="291FCBF2" w14:textId="77777777" w:rsidR="009B1490" w:rsidRPr="00313F27" w:rsidRDefault="009B1490" w:rsidP="00650441">
            <w:pPr>
              <w:pStyle w:val="ListParagraph"/>
              <w:numPr>
                <w:ilvl w:val="0"/>
                <w:numId w:val="3"/>
              </w:numPr>
              <w:spacing w:after="200" w:line="312" w:lineRule="auto"/>
              <w:jc w:val="both"/>
              <w:rPr>
                <w:rFonts w:ascii="Times New Roman" w:hAnsi="Times New Roman" w:cs="Times New Roman"/>
                <w:color w:val="FF0000"/>
                <w:sz w:val="28"/>
                <w:szCs w:val="28"/>
              </w:rPr>
            </w:pPr>
            <w:r w:rsidRPr="00313F27">
              <w:rPr>
                <w:rFonts w:ascii="Times New Roman" w:hAnsi="Times New Roman" w:cs="Times New Roman"/>
                <w:color w:val="FF0000"/>
                <w:sz w:val="28"/>
                <w:szCs w:val="28"/>
              </w:rPr>
              <w:t>Chỉ định thầu gồm hai loại:</w:t>
            </w:r>
          </w:p>
          <w:p w14:paraId="43DFD6FC" w14:textId="77777777" w:rsidR="009B1490" w:rsidRPr="00313F27" w:rsidRDefault="009B1490" w:rsidP="00650441">
            <w:pPr>
              <w:pStyle w:val="ListParagraph"/>
              <w:numPr>
                <w:ilvl w:val="0"/>
                <w:numId w:val="2"/>
              </w:numPr>
              <w:spacing w:after="200" w:line="312" w:lineRule="auto"/>
              <w:ind w:left="453"/>
              <w:jc w:val="both"/>
              <w:rPr>
                <w:rFonts w:ascii="Times New Roman" w:hAnsi="Times New Roman" w:cs="Times New Roman"/>
                <w:color w:val="FF0000"/>
                <w:sz w:val="28"/>
                <w:szCs w:val="28"/>
              </w:rPr>
            </w:pPr>
            <w:r w:rsidRPr="00313F27">
              <w:rPr>
                <w:rFonts w:ascii="Times New Roman" w:hAnsi="Times New Roman" w:cs="Times New Roman"/>
                <w:color w:val="FF0000"/>
                <w:sz w:val="28"/>
                <w:szCs w:val="28"/>
              </w:rPr>
              <w:t>Chỉ định thầu thông thường là quy trình lựa chọn nhà thầu trong các trường hợp đặc biệt. Trình tự thủ tục vẫn cần đảm bảo lập hồ sơ yêu cầu, trình phê duyệt kế hoạch lựa chọn nhà thầu, tổ chức đánh giá hồ sơ đề xuất, thương thảo hợp đồng.</w:t>
            </w:r>
          </w:p>
          <w:p w14:paraId="7D4753BD" w14:textId="77777777" w:rsidR="009B1490" w:rsidRPr="00313F27" w:rsidRDefault="009B1490" w:rsidP="00650441">
            <w:pPr>
              <w:pStyle w:val="ListParagraph"/>
              <w:spacing w:line="312" w:lineRule="auto"/>
              <w:ind w:left="453"/>
              <w:jc w:val="both"/>
              <w:rPr>
                <w:rFonts w:ascii="Times New Roman" w:hAnsi="Times New Roman" w:cs="Times New Roman"/>
                <w:color w:val="FF0000"/>
                <w:sz w:val="28"/>
                <w:szCs w:val="28"/>
              </w:rPr>
            </w:pPr>
            <w:r w:rsidRPr="00313F27">
              <w:rPr>
                <w:rFonts w:ascii="Times New Roman" w:hAnsi="Times New Roman" w:cs="Times New Roman"/>
                <w:color w:val="FF0000"/>
                <w:sz w:val="28"/>
                <w:szCs w:val="28"/>
              </w:rPr>
              <w:t xml:space="preserve">Có thể áp dụng cho các trường hợp yêu cầu năng lực nhà thầu phải chứng minh năng lực, kinh nghiệm và đáp ứng yêu cầu kỹ thuật. Ví dụ như: bảo trì thang máy, hệ thống </w:t>
            </w:r>
            <w:r w:rsidRPr="00313F27">
              <w:rPr>
                <w:rFonts w:ascii="Times New Roman" w:hAnsi="Times New Roman" w:cs="Times New Roman"/>
                <w:color w:val="FF0000"/>
                <w:sz w:val="28"/>
                <w:szCs w:val="28"/>
              </w:rPr>
              <w:lastRenderedPageBreak/>
              <w:t>phòng cháy chữa cháy hệ thống điện trung thế, hạ thế, tủ điện tổng, hệ thống máy phát điện dự phòng …</w:t>
            </w:r>
          </w:p>
          <w:p w14:paraId="346483D4" w14:textId="77777777" w:rsidR="009B1490" w:rsidRPr="00313F27" w:rsidRDefault="009B1490" w:rsidP="00650441">
            <w:pPr>
              <w:pStyle w:val="ListParagraph"/>
              <w:numPr>
                <w:ilvl w:val="0"/>
                <w:numId w:val="2"/>
              </w:numPr>
              <w:spacing w:after="200" w:line="312" w:lineRule="auto"/>
              <w:ind w:left="453"/>
              <w:jc w:val="both"/>
              <w:rPr>
                <w:rFonts w:ascii="Times New Roman" w:hAnsi="Times New Roman" w:cs="Times New Roman"/>
                <w:color w:val="FF0000"/>
                <w:sz w:val="28"/>
                <w:szCs w:val="28"/>
              </w:rPr>
            </w:pPr>
            <w:r w:rsidRPr="00313F27">
              <w:rPr>
                <w:rFonts w:ascii="Times New Roman" w:hAnsi="Times New Roman" w:cs="Times New Roman"/>
                <w:color w:val="FF0000"/>
                <w:sz w:val="28"/>
                <w:szCs w:val="28"/>
              </w:rPr>
              <w:t>Chỉ định thầu rút gọn là hình thức đơn giản hóa thủ tục chỉ định thầu, áp dụng cho các gói thầu có giá trị nhỏ hoặc có tính chất đơn giản. Trình tự thủ tục đơn giản hơn: chỉ cần phê duyệt kế hoạch và lựa chọn trực tiếp, không cần lập hồ sơ yêu cầu phức tạp.</w:t>
            </w:r>
          </w:p>
          <w:p w14:paraId="0F2233C3" w14:textId="77777777" w:rsidR="009B1490" w:rsidRPr="00313F27" w:rsidRDefault="009B1490" w:rsidP="00650441">
            <w:pPr>
              <w:pStyle w:val="ListParagraph"/>
              <w:spacing w:line="312" w:lineRule="auto"/>
              <w:ind w:left="453"/>
              <w:jc w:val="both"/>
              <w:rPr>
                <w:rFonts w:ascii="Times New Roman" w:hAnsi="Times New Roman" w:cs="Times New Roman"/>
                <w:color w:val="FF0000"/>
                <w:sz w:val="28"/>
                <w:szCs w:val="28"/>
              </w:rPr>
            </w:pPr>
            <w:r w:rsidRPr="00313F27">
              <w:rPr>
                <w:rFonts w:ascii="Times New Roman" w:hAnsi="Times New Roman" w:cs="Times New Roman"/>
                <w:color w:val="FF0000"/>
                <w:sz w:val="28"/>
                <w:szCs w:val="28"/>
              </w:rPr>
              <w:t>Yêu cầu năng lực nhà thầu có thể đơn giản hơn, chủ yếu là đảm bảo hoàn thành được công việc.</w:t>
            </w:r>
          </w:p>
          <w:p w14:paraId="2E2867DA" w14:textId="77777777" w:rsidR="009B1490" w:rsidRPr="00313F27" w:rsidRDefault="009B1490" w:rsidP="00650441">
            <w:pPr>
              <w:pStyle w:val="ListParagraph"/>
              <w:spacing w:line="312" w:lineRule="auto"/>
              <w:ind w:left="453"/>
              <w:jc w:val="both"/>
              <w:rPr>
                <w:rFonts w:ascii="Times New Roman" w:hAnsi="Times New Roman" w:cs="Times New Roman"/>
                <w:color w:val="FF0000"/>
                <w:sz w:val="28"/>
                <w:szCs w:val="28"/>
              </w:rPr>
            </w:pPr>
            <w:r w:rsidRPr="00313F27">
              <w:rPr>
                <w:rFonts w:ascii="Times New Roman" w:hAnsi="Times New Roman" w:cs="Times New Roman"/>
                <w:color w:val="FF0000"/>
                <w:sz w:val="28"/>
                <w:szCs w:val="28"/>
              </w:rPr>
              <w:t>Áp dụng cho các gói thầu nhỏ, đơn giản, giúp tiết kiệm thời gian, giảm thủ tục hành chính.</w:t>
            </w:r>
          </w:p>
          <w:p w14:paraId="5F24EFE2" w14:textId="77777777" w:rsidR="009B1490" w:rsidRPr="00313F27" w:rsidRDefault="009B1490" w:rsidP="00650441">
            <w:pPr>
              <w:pStyle w:val="ListParagraph"/>
              <w:numPr>
                <w:ilvl w:val="0"/>
                <w:numId w:val="3"/>
              </w:numPr>
              <w:spacing w:line="312" w:lineRule="auto"/>
              <w:contextualSpacing w:val="0"/>
              <w:jc w:val="both"/>
              <w:rPr>
                <w:rStyle w:val="fontstyle01"/>
                <w:rFonts w:ascii="Times New Roman" w:hAnsi="Times New Roman" w:cs="Times New Roman"/>
                <w:color w:val="FF0000"/>
                <w:sz w:val="28"/>
                <w:szCs w:val="28"/>
              </w:rPr>
            </w:pPr>
            <w:r w:rsidRPr="00313F27">
              <w:rPr>
                <w:rFonts w:ascii="Times New Roman" w:hAnsi="Times New Roman" w:cs="Times New Roman"/>
                <w:color w:val="FF0000"/>
                <w:sz w:val="28"/>
                <w:szCs w:val="28"/>
              </w:rPr>
              <w:t>Được phép lựa chọn nhà thầu đã từng trúng thầu hoặc từng cung cấp dịch vụ, hàng hóa cho BQT.</w:t>
            </w:r>
          </w:p>
        </w:tc>
      </w:tr>
      <w:tr w:rsidR="009B1490" w:rsidRPr="00313F27" w14:paraId="63F948D0" w14:textId="77777777" w:rsidTr="0078361D">
        <w:tc>
          <w:tcPr>
            <w:tcW w:w="1648" w:type="dxa"/>
            <w:vAlign w:val="center"/>
          </w:tcPr>
          <w:p w14:paraId="3635D529" w14:textId="77777777" w:rsidR="009B1490" w:rsidRPr="00313F27" w:rsidRDefault="009B1490" w:rsidP="00650441">
            <w:pPr>
              <w:tabs>
                <w:tab w:val="left" w:pos="5526"/>
              </w:tabs>
              <w:rPr>
                <w:rFonts w:ascii="Times New Roman" w:hAnsi="Times New Roman" w:cs="Times New Roman"/>
                <w:b/>
                <w:sz w:val="28"/>
                <w:szCs w:val="28"/>
              </w:rPr>
            </w:pPr>
          </w:p>
        </w:tc>
        <w:tc>
          <w:tcPr>
            <w:tcW w:w="4779" w:type="dxa"/>
            <w:vAlign w:val="center"/>
          </w:tcPr>
          <w:p w14:paraId="4A3F535F" w14:textId="58CB79B2" w:rsidR="009B1490" w:rsidRPr="00313F27" w:rsidRDefault="00313F27" w:rsidP="00650441">
            <w:pPr>
              <w:spacing w:before="120" w:after="120"/>
              <w:jc w:val="both"/>
              <w:rPr>
                <w:rFonts w:ascii="Times New Roman" w:hAnsi="Times New Roman" w:cs="Times New Roman"/>
                <w:b/>
                <w:sz w:val="28"/>
                <w:szCs w:val="28"/>
              </w:rPr>
            </w:pPr>
            <w:r w:rsidRPr="00313F27">
              <w:rPr>
                <w:rFonts w:ascii="Times New Roman" w:hAnsi="Times New Roman" w:cs="Times New Roman"/>
                <w:b/>
                <w:sz w:val="28"/>
                <w:szCs w:val="28"/>
              </w:rPr>
              <w:t xml:space="preserve">Quy chế hoạt động của Ban Quản trị </w:t>
            </w:r>
          </w:p>
          <w:p w14:paraId="7A6E364E" w14:textId="77777777" w:rsidR="009B1490" w:rsidRPr="00313F27" w:rsidRDefault="009B1490" w:rsidP="00650441">
            <w:pPr>
              <w:spacing w:before="120" w:after="120"/>
              <w:jc w:val="both"/>
              <w:rPr>
                <w:rFonts w:ascii="Times New Roman" w:hAnsi="Times New Roman" w:cs="Times New Roman"/>
                <w:b/>
                <w:sz w:val="28"/>
                <w:szCs w:val="28"/>
              </w:rPr>
            </w:pPr>
          </w:p>
        </w:tc>
        <w:tc>
          <w:tcPr>
            <w:tcW w:w="7163" w:type="dxa"/>
          </w:tcPr>
          <w:p w14:paraId="44A95B00" w14:textId="77777777" w:rsidR="009B1490" w:rsidRDefault="009B1490" w:rsidP="00650441">
            <w:pPr>
              <w:pStyle w:val="ListParagraph"/>
              <w:numPr>
                <w:ilvl w:val="0"/>
                <w:numId w:val="8"/>
              </w:numPr>
              <w:tabs>
                <w:tab w:val="left" w:pos="4086"/>
              </w:tabs>
              <w:spacing w:after="200" w:line="312" w:lineRule="auto"/>
              <w:jc w:val="both"/>
              <w:rPr>
                <w:rFonts w:ascii="Times New Roman" w:hAnsi="Times New Roman" w:cs="Times New Roman"/>
                <w:color w:val="EE0000"/>
                <w:sz w:val="28"/>
                <w:szCs w:val="28"/>
              </w:rPr>
            </w:pPr>
            <w:r w:rsidRPr="00313F27">
              <w:rPr>
                <w:rFonts w:ascii="Times New Roman" w:hAnsi="Times New Roman" w:cs="Times New Roman"/>
                <w:color w:val="EE0000"/>
                <w:sz w:val="28"/>
                <w:szCs w:val="28"/>
              </w:rPr>
              <w:t>Các hạng mục hư hỏng phải báo cáo tới cư dân trong vòng 3 ngà</w:t>
            </w:r>
            <w:r w:rsidR="00313F27" w:rsidRPr="00313F27">
              <w:rPr>
                <w:rFonts w:ascii="Times New Roman" w:hAnsi="Times New Roman" w:cs="Times New Roman"/>
                <w:color w:val="EE0000"/>
                <w:sz w:val="28"/>
                <w:szCs w:val="28"/>
              </w:rPr>
              <w:t>y</w:t>
            </w:r>
          </w:p>
          <w:p w14:paraId="71264385" w14:textId="634CF912" w:rsidR="001C01B1" w:rsidRPr="00313F27" w:rsidRDefault="001C01B1" w:rsidP="00650441">
            <w:pPr>
              <w:pStyle w:val="ListParagraph"/>
              <w:numPr>
                <w:ilvl w:val="0"/>
                <w:numId w:val="8"/>
              </w:numPr>
              <w:tabs>
                <w:tab w:val="left" w:pos="4086"/>
              </w:tabs>
              <w:spacing w:after="200" w:line="312" w:lineRule="auto"/>
              <w:jc w:val="both"/>
              <w:rPr>
                <w:rFonts w:ascii="Times New Roman" w:hAnsi="Times New Roman" w:cs="Times New Roman"/>
                <w:color w:val="EE0000"/>
                <w:sz w:val="28"/>
                <w:szCs w:val="28"/>
              </w:rPr>
            </w:pPr>
            <w:r>
              <w:rPr>
                <w:rFonts w:ascii="Times New Roman" w:hAnsi="Times New Roman" w:cs="Times New Roman"/>
                <w:color w:val="EE0000"/>
                <w:sz w:val="28"/>
                <w:szCs w:val="28"/>
              </w:rPr>
              <w:t xml:space="preserve">Quy chế quản lý con dấu </w:t>
            </w:r>
          </w:p>
        </w:tc>
      </w:tr>
      <w:tr w:rsidR="009B1490" w:rsidRPr="00313F27" w14:paraId="785F13D2" w14:textId="77777777" w:rsidTr="0078361D">
        <w:tc>
          <w:tcPr>
            <w:tcW w:w="1648" w:type="dxa"/>
            <w:vAlign w:val="center"/>
          </w:tcPr>
          <w:p w14:paraId="6D6B4B5F" w14:textId="77777777" w:rsidR="009B1490" w:rsidRPr="00313F27" w:rsidRDefault="009B1490" w:rsidP="00650441">
            <w:pPr>
              <w:tabs>
                <w:tab w:val="left" w:pos="5526"/>
              </w:tabs>
              <w:rPr>
                <w:rFonts w:ascii="Times New Roman" w:hAnsi="Times New Roman" w:cs="Times New Roman"/>
                <w:b/>
                <w:sz w:val="28"/>
                <w:szCs w:val="28"/>
              </w:rPr>
            </w:pPr>
          </w:p>
        </w:tc>
        <w:tc>
          <w:tcPr>
            <w:tcW w:w="4779" w:type="dxa"/>
            <w:vAlign w:val="center"/>
          </w:tcPr>
          <w:p w14:paraId="5456282B" w14:textId="22F2C6C7" w:rsidR="009B1490" w:rsidRPr="00313F27" w:rsidRDefault="00313F27" w:rsidP="00650441">
            <w:pPr>
              <w:spacing w:before="120" w:after="120"/>
              <w:jc w:val="both"/>
              <w:rPr>
                <w:rFonts w:ascii="Times New Roman" w:hAnsi="Times New Roman" w:cs="Times New Roman"/>
                <w:bCs/>
                <w:sz w:val="28"/>
                <w:szCs w:val="28"/>
              </w:rPr>
            </w:pPr>
            <w:r w:rsidRPr="00313F27">
              <w:rPr>
                <w:rFonts w:ascii="Times New Roman" w:hAnsi="Times New Roman" w:cs="Times New Roman"/>
                <w:b/>
                <w:color w:val="000000" w:themeColor="text1"/>
                <w:sz w:val="28"/>
                <w:szCs w:val="28"/>
              </w:rPr>
              <w:t xml:space="preserve">Quy chế tổ chức Hội nghị nhà chung cư </w:t>
            </w:r>
          </w:p>
        </w:tc>
        <w:tc>
          <w:tcPr>
            <w:tcW w:w="7163" w:type="dxa"/>
          </w:tcPr>
          <w:p w14:paraId="084FCC58" w14:textId="0ECE2D67" w:rsidR="009B1490" w:rsidRPr="00313F27" w:rsidRDefault="00313F27" w:rsidP="00650441">
            <w:pPr>
              <w:pStyle w:val="ListParagraph"/>
              <w:numPr>
                <w:ilvl w:val="0"/>
                <w:numId w:val="8"/>
              </w:numPr>
              <w:tabs>
                <w:tab w:val="left" w:pos="4086"/>
              </w:tabs>
              <w:spacing w:after="200" w:line="312" w:lineRule="auto"/>
              <w:jc w:val="both"/>
              <w:rPr>
                <w:rFonts w:ascii="Times New Roman" w:hAnsi="Times New Roman" w:cs="Times New Roman"/>
                <w:color w:val="EE0000"/>
                <w:sz w:val="28"/>
                <w:szCs w:val="28"/>
              </w:rPr>
            </w:pPr>
            <w:r>
              <w:rPr>
                <w:rFonts w:ascii="Times New Roman" w:hAnsi="Times New Roman" w:cs="Times New Roman"/>
                <w:color w:val="EE0000"/>
                <w:sz w:val="28"/>
                <w:szCs w:val="28"/>
              </w:rPr>
              <w:t xml:space="preserve">Uỷ quyền qua tin nhắn/email/zalo đã đăng ký theo hệ thống lưu trữ dữ liệu Cư dân với Ban Quản lý toà nhà hoặc Ban Quản trị </w:t>
            </w:r>
          </w:p>
        </w:tc>
      </w:tr>
      <w:tr w:rsidR="0078361D" w:rsidRPr="00313F27" w14:paraId="083921FD" w14:textId="77777777" w:rsidTr="0078361D">
        <w:tc>
          <w:tcPr>
            <w:tcW w:w="1648" w:type="dxa"/>
            <w:vAlign w:val="center"/>
          </w:tcPr>
          <w:p w14:paraId="271567D2" w14:textId="77777777" w:rsidR="0078361D" w:rsidRPr="00313F27" w:rsidRDefault="0078361D" w:rsidP="00650441">
            <w:pPr>
              <w:tabs>
                <w:tab w:val="left" w:pos="5526"/>
              </w:tabs>
              <w:rPr>
                <w:rFonts w:ascii="Times New Roman" w:hAnsi="Times New Roman" w:cs="Times New Roman"/>
                <w:b/>
                <w:sz w:val="28"/>
                <w:szCs w:val="28"/>
              </w:rPr>
            </w:pPr>
          </w:p>
        </w:tc>
        <w:tc>
          <w:tcPr>
            <w:tcW w:w="4779" w:type="dxa"/>
            <w:vAlign w:val="center"/>
          </w:tcPr>
          <w:p w14:paraId="7B3C9CD5" w14:textId="531B9F12" w:rsidR="0078361D" w:rsidRPr="00313F27" w:rsidRDefault="0078361D" w:rsidP="00650441">
            <w:pPr>
              <w:spacing w:before="120" w:after="1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Quy chế bầu Ban Quản trị </w:t>
            </w:r>
          </w:p>
        </w:tc>
        <w:tc>
          <w:tcPr>
            <w:tcW w:w="7163" w:type="dxa"/>
          </w:tcPr>
          <w:p w14:paraId="5F598466" w14:textId="56B2A334" w:rsidR="0078361D" w:rsidRDefault="0078361D" w:rsidP="00650441">
            <w:pPr>
              <w:pStyle w:val="ListParagraph"/>
              <w:numPr>
                <w:ilvl w:val="0"/>
                <w:numId w:val="8"/>
              </w:numPr>
              <w:tabs>
                <w:tab w:val="left" w:pos="4086"/>
              </w:tabs>
              <w:spacing w:after="200" w:line="312" w:lineRule="auto"/>
              <w:jc w:val="both"/>
              <w:rPr>
                <w:rFonts w:ascii="Times New Roman" w:hAnsi="Times New Roman" w:cs="Times New Roman"/>
                <w:color w:val="EE0000"/>
                <w:sz w:val="28"/>
                <w:szCs w:val="28"/>
              </w:rPr>
            </w:pPr>
            <w:r w:rsidRPr="0078361D">
              <w:rPr>
                <w:rFonts w:ascii="Times New Roman" w:hAnsi="Times New Roman" w:cs="Times New Roman"/>
                <w:color w:val="EE0000"/>
                <w:sz w:val="28"/>
                <w:szCs w:val="28"/>
              </w:rPr>
              <w:t>Giảm số lượng TVBQT từ 3 xuống 2, đồng thời thuê nhân sự 1 kỹ thuật &amp; 1 kế toán cố định làm việc cho BQT và cư dân</w:t>
            </w:r>
          </w:p>
        </w:tc>
      </w:tr>
      <w:tr w:rsidR="00313F27" w:rsidRPr="00313F27" w14:paraId="739A91F8" w14:textId="77777777" w:rsidTr="0078361D">
        <w:tc>
          <w:tcPr>
            <w:tcW w:w="1648" w:type="dxa"/>
            <w:vAlign w:val="center"/>
          </w:tcPr>
          <w:p w14:paraId="2CAE864F" w14:textId="77777777" w:rsidR="00313F27" w:rsidRPr="00313F27" w:rsidRDefault="00313F27" w:rsidP="00650441">
            <w:pPr>
              <w:tabs>
                <w:tab w:val="left" w:pos="5526"/>
              </w:tabs>
              <w:rPr>
                <w:rFonts w:ascii="Times New Roman" w:hAnsi="Times New Roman" w:cs="Times New Roman"/>
                <w:b/>
                <w:sz w:val="28"/>
                <w:szCs w:val="28"/>
              </w:rPr>
            </w:pPr>
          </w:p>
        </w:tc>
        <w:tc>
          <w:tcPr>
            <w:tcW w:w="4779" w:type="dxa"/>
            <w:vAlign w:val="center"/>
          </w:tcPr>
          <w:p w14:paraId="3E63588B" w14:textId="77199294" w:rsidR="00313F27" w:rsidRPr="00313F27" w:rsidRDefault="00313F27" w:rsidP="00650441">
            <w:pPr>
              <w:spacing w:before="120" w:after="120"/>
              <w:jc w:val="both"/>
              <w:rPr>
                <w:rFonts w:ascii="Times New Roman" w:hAnsi="Times New Roman" w:cs="Times New Roman"/>
                <w:b/>
                <w:color w:val="000000" w:themeColor="text1"/>
                <w:sz w:val="28"/>
                <w:szCs w:val="28"/>
              </w:rPr>
            </w:pPr>
            <w:r w:rsidRPr="00313F27">
              <w:rPr>
                <w:rFonts w:ascii="Times New Roman" w:hAnsi="Times New Roman" w:cs="Times New Roman"/>
                <w:b/>
                <w:color w:val="000000" w:themeColor="text1"/>
                <w:sz w:val="28"/>
                <w:szCs w:val="28"/>
              </w:rPr>
              <w:t xml:space="preserve">Nội quy nhà chung cư </w:t>
            </w:r>
          </w:p>
        </w:tc>
        <w:tc>
          <w:tcPr>
            <w:tcW w:w="7163" w:type="dxa"/>
          </w:tcPr>
          <w:p w14:paraId="7963109E" w14:textId="77777777" w:rsidR="00313F27" w:rsidRDefault="00313F27" w:rsidP="00650441">
            <w:pPr>
              <w:pStyle w:val="ListParagraph"/>
              <w:numPr>
                <w:ilvl w:val="0"/>
                <w:numId w:val="8"/>
              </w:numPr>
              <w:tabs>
                <w:tab w:val="left" w:pos="4086"/>
              </w:tabs>
              <w:spacing w:after="200" w:line="312" w:lineRule="auto"/>
              <w:jc w:val="both"/>
              <w:rPr>
                <w:rFonts w:ascii="Times New Roman" w:hAnsi="Times New Roman" w:cs="Times New Roman"/>
                <w:color w:val="EE0000"/>
                <w:sz w:val="28"/>
                <w:szCs w:val="28"/>
              </w:rPr>
            </w:pPr>
            <w:r w:rsidRPr="00313F27">
              <w:rPr>
                <w:rFonts w:ascii="Times New Roman" w:hAnsi="Times New Roman" w:cs="Times New Roman"/>
                <w:color w:val="EE0000"/>
                <w:sz w:val="28"/>
                <w:szCs w:val="28"/>
              </w:rPr>
              <w:t xml:space="preserve">Chế tài chặn </w:t>
            </w:r>
            <w:r w:rsidRPr="00313F27">
              <w:rPr>
                <w:rFonts w:ascii="Times New Roman" w:hAnsi="Times New Roman" w:cs="Times New Roman"/>
                <w:color w:val="EE0000"/>
                <w:sz w:val="28"/>
                <w:szCs w:val="28"/>
              </w:rPr>
              <w:t>xe</w:t>
            </w:r>
            <w:r w:rsidRPr="00313F27">
              <w:rPr>
                <w:rFonts w:ascii="Times New Roman" w:hAnsi="Times New Roman" w:cs="Times New Roman"/>
                <w:color w:val="EE0000"/>
                <w:sz w:val="28"/>
                <w:szCs w:val="28"/>
              </w:rPr>
              <w:t xml:space="preserve"> </w:t>
            </w:r>
            <w:r w:rsidRPr="00313F27">
              <w:rPr>
                <w:rFonts w:ascii="Times New Roman" w:hAnsi="Times New Roman" w:cs="Times New Roman"/>
                <w:color w:val="EE0000"/>
                <w:sz w:val="28"/>
                <w:szCs w:val="28"/>
              </w:rPr>
              <w:t>dưới mọi hình thức</w:t>
            </w:r>
          </w:p>
          <w:p w14:paraId="0448B028" w14:textId="60327922" w:rsidR="0078361D" w:rsidRPr="00313F27" w:rsidRDefault="0078361D" w:rsidP="00650441">
            <w:pPr>
              <w:pStyle w:val="ListParagraph"/>
              <w:numPr>
                <w:ilvl w:val="0"/>
                <w:numId w:val="8"/>
              </w:numPr>
              <w:tabs>
                <w:tab w:val="left" w:pos="4086"/>
              </w:tabs>
              <w:spacing w:after="200" w:line="312" w:lineRule="auto"/>
              <w:jc w:val="both"/>
              <w:rPr>
                <w:rFonts w:ascii="Times New Roman" w:hAnsi="Times New Roman" w:cs="Times New Roman"/>
                <w:color w:val="EE0000"/>
                <w:sz w:val="28"/>
                <w:szCs w:val="28"/>
              </w:rPr>
            </w:pPr>
            <w:r w:rsidRPr="0078361D">
              <w:rPr>
                <w:rFonts w:ascii="Times New Roman" w:hAnsi="Times New Roman" w:cs="Times New Roman"/>
                <w:color w:val="EE0000"/>
                <w:sz w:val="28"/>
                <w:szCs w:val="28"/>
              </w:rPr>
              <w:t xml:space="preserve">Thu phạt làm sao cho đúng luật </w:t>
            </w:r>
            <w:r>
              <w:rPr>
                <w:rFonts w:ascii="Times New Roman" w:hAnsi="Times New Roman" w:cs="Times New Roman"/>
                <w:color w:val="EE0000"/>
                <w:sz w:val="28"/>
                <w:szCs w:val="28"/>
              </w:rPr>
              <w:t xml:space="preserve"> </w:t>
            </w:r>
          </w:p>
        </w:tc>
      </w:tr>
    </w:tbl>
    <w:p w14:paraId="14B6B4CE" w14:textId="77777777" w:rsidR="009B1490" w:rsidRPr="00313F27" w:rsidRDefault="009B1490" w:rsidP="009B1490">
      <w:pPr>
        <w:jc w:val="center"/>
        <w:rPr>
          <w:rFonts w:ascii="Times New Roman" w:hAnsi="Times New Roman" w:cs="Times New Roman"/>
          <w:b/>
          <w:bCs/>
          <w:sz w:val="28"/>
          <w:szCs w:val="28"/>
        </w:rPr>
      </w:pPr>
    </w:p>
    <w:sectPr w:rsidR="009B1490" w:rsidRPr="00313F27" w:rsidSect="009B149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34DF"/>
    <w:multiLevelType w:val="hybridMultilevel"/>
    <w:tmpl w:val="3E942E32"/>
    <w:lvl w:ilvl="0" w:tplc="A4AAB736">
      <w:numFmt w:val="bullet"/>
      <w:lvlText w:val="-"/>
      <w:lvlJc w:val="left"/>
      <w:pPr>
        <w:ind w:left="619" w:hanging="360"/>
      </w:pPr>
      <w:rPr>
        <w:rFonts w:ascii="Times New Roman" w:eastAsiaTheme="minorEastAsia" w:hAnsi="Times New Roman" w:cs="Times New Roman" w:hint="default"/>
      </w:rPr>
    </w:lvl>
    <w:lvl w:ilvl="1" w:tplc="48090003" w:tentative="1">
      <w:start w:val="1"/>
      <w:numFmt w:val="bullet"/>
      <w:lvlText w:val="o"/>
      <w:lvlJc w:val="left"/>
      <w:pPr>
        <w:ind w:left="1339" w:hanging="360"/>
      </w:pPr>
      <w:rPr>
        <w:rFonts w:ascii="Courier New" w:hAnsi="Courier New" w:cs="Courier New" w:hint="default"/>
      </w:rPr>
    </w:lvl>
    <w:lvl w:ilvl="2" w:tplc="48090005" w:tentative="1">
      <w:start w:val="1"/>
      <w:numFmt w:val="bullet"/>
      <w:lvlText w:val=""/>
      <w:lvlJc w:val="left"/>
      <w:pPr>
        <w:ind w:left="2059" w:hanging="360"/>
      </w:pPr>
      <w:rPr>
        <w:rFonts w:ascii="Wingdings" w:hAnsi="Wingdings" w:hint="default"/>
      </w:rPr>
    </w:lvl>
    <w:lvl w:ilvl="3" w:tplc="48090001" w:tentative="1">
      <w:start w:val="1"/>
      <w:numFmt w:val="bullet"/>
      <w:lvlText w:val=""/>
      <w:lvlJc w:val="left"/>
      <w:pPr>
        <w:ind w:left="2779" w:hanging="360"/>
      </w:pPr>
      <w:rPr>
        <w:rFonts w:ascii="Symbol" w:hAnsi="Symbol" w:hint="default"/>
      </w:rPr>
    </w:lvl>
    <w:lvl w:ilvl="4" w:tplc="48090003" w:tentative="1">
      <w:start w:val="1"/>
      <w:numFmt w:val="bullet"/>
      <w:lvlText w:val="o"/>
      <w:lvlJc w:val="left"/>
      <w:pPr>
        <w:ind w:left="3499" w:hanging="360"/>
      </w:pPr>
      <w:rPr>
        <w:rFonts w:ascii="Courier New" w:hAnsi="Courier New" w:cs="Courier New" w:hint="default"/>
      </w:rPr>
    </w:lvl>
    <w:lvl w:ilvl="5" w:tplc="48090005" w:tentative="1">
      <w:start w:val="1"/>
      <w:numFmt w:val="bullet"/>
      <w:lvlText w:val=""/>
      <w:lvlJc w:val="left"/>
      <w:pPr>
        <w:ind w:left="4219" w:hanging="360"/>
      </w:pPr>
      <w:rPr>
        <w:rFonts w:ascii="Wingdings" w:hAnsi="Wingdings" w:hint="default"/>
      </w:rPr>
    </w:lvl>
    <w:lvl w:ilvl="6" w:tplc="48090001" w:tentative="1">
      <w:start w:val="1"/>
      <w:numFmt w:val="bullet"/>
      <w:lvlText w:val=""/>
      <w:lvlJc w:val="left"/>
      <w:pPr>
        <w:ind w:left="4939" w:hanging="360"/>
      </w:pPr>
      <w:rPr>
        <w:rFonts w:ascii="Symbol" w:hAnsi="Symbol" w:hint="default"/>
      </w:rPr>
    </w:lvl>
    <w:lvl w:ilvl="7" w:tplc="48090003" w:tentative="1">
      <w:start w:val="1"/>
      <w:numFmt w:val="bullet"/>
      <w:lvlText w:val="o"/>
      <w:lvlJc w:val="left"/>
      <w:pPr>
        <w:ind w:left="5659" w:hanging="360"/>
      </w:pPr>
      <w:rPr>
        <w:rFonts w:ascii="Courier New" w:hAnsi="Courier New" w:cs="Courier New" w:hint="default"/>
      </w:rPr>
    </w:lvl>
    <w:lvl w:ilvl="8" w:tplc="48090005" w:tentative="1">
      <w:start w:val="1"/>
      <w:numFmt w:val="bullet"/>
      <w:lvlText w:val=""/>
      <w:lvlJc w:val="left"/>
      <w:pPr>
        <w:ind w:left="6379" w:hanging="360"/>
      </w:pPr>
      <w:rPr>
        <w:rFonts w:ascii="Wingdings" w:hAnsi="Wingdings" w:hint="default"/>
      </w:rPr>
    </w:lvl>
  </w:abstractNum>
  <w:abstractNum w:abstractNumId="1" w15:restartNumberingAfterBreak="0">
    <w:nsid w:val="1937015F"/>
    <w:multiLevelType w:val="hybridMultilevel"/>
    <w:tmpl w:val="EA5EBB50"/>
    <w:lvl w:ilvl="0" w:tplc="1E24C5D4">
      <w:start w:val="11"/>
      <w:numFmt w:val="bullet"/>
      <w:lvlText w:val="-"/>
      <w:lvlJc w:val="left"/>
      <w:pPr>
        <w:ind w:left="720" w:hanging="360"/>
      </w:pPr>
      <w:rPr>
        <w:rFonts w:ascii="Times New Roman" w:eastAsiaTheme="minorEastAsia"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1C83569"/>
    <w:multiLevelType w:val="hybridMultilevel"/>
    <w:tmpl w:val="C024BBF2"/>
    <w:lvl w:ilvl="0" w:tplc="8236D9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72365"/>
    <w:multiLevelType w:val="hybridMultilevel"/>
    <w:tmpl w:val="412A50FE"/>
    <w:lvl w:ilvl="0" w:tplc="1E24C5D4">
      <w:start w:val="11"/>
      <w:numFmt w:val="bullet"/>
      <w:lvlText w:val="-"/>
      <w:lvlJc w:val="left"/>
      <w:pPr>
        <w:ind w:left="979" w:hanging="360"/>
      </w:pPr>
      <w:rPr>
        <w:rFonts w:ascii="Times New Roman" w:eastAsiaTheme="minorEastAsia" w:hAnsi="Times New Roman" w:cs="Times New Roman" w:hint="default"/>
      </w:rPr>
    </w:lvl>
    <w:lvl w:ilvl="1" w:tplc="48090003" w:tentative="1">
      <w:start w:val="1"/>
      <w:numFmt w:val="bullet"/>
      <w:lvlText w:val="o"/>
      <w:lvlJc w:val="left"/>
      <w:pPr>
        <w:ind w:left="1699" w:hanging="360"/>
      </w:pPr>
      <w:rPr>
        <w:rFonts w:ascii="Courier New" w:hAnsi="Courier New" w:cs="Courier New" w:hint="default"/>
      </w:rPr>
    </w:lvl>
    <w:lvl w:ilvl="2" w:tplc="48090005" w:tentative="1">
      <w:start w:val="1"/>
      <w:numFmt w:val="bullet"/>
      <w:lvlText w:val=""/>
      <w:lvlJc w:val="left"/>
      <w:pPr>
        <w:ind w:left="2419" w:hanging="360"/>
      </w:pPr>
      <w:rPr>
        <w:rFonts w:ascii="Wingdings" w:hAnsi="Wingdings" w:hint="default"/>
      </w:rPr>
    </w:lvl>
    <w:lvl w:ilvl="3" w:tplc="48090001" w:tentative="1">
      <w:start w:val="1"/>
      <w:numFmt w:val="bullet"/>
      <w:lvlText w:val=""/>
      <w:lvlJc w:val="left"/>
      <w:pPr>
        <w:ind w:left="3139" w:hanging="360"/>
      </w:pPr>
      <w:rPr>
        <w:rFonts w:ascii="Symbol" w:hAnsi="Symbol" w:hint="default"/>
      </w:rPr>
    </w:lvl>
    <w:lvl w:ilvl="4" w:tplc="48090003" w:tentative="1">
      <w:start w:val="1"/>
      <w:numFmt w:val="bullet"/>
      <w:lvlText w:val="o"/>
      <w:lvlJc w:val="left"/>
      <w:pPr>
        <w:ind w:left="3859" w:hanging="360"/>
      </w:pPr>
      <w:rPr>
        <w:rFonts w:ascii="Courier New" w:hAnsi="Courier New" w:cs="Courier New" w:hint="default"/>
      </w:rPr>
    </w:lvl>
    <w:lvl w:ilvl="5" w:tplc="48090005" w:tentative="1">
      <w:start w:val="1"/>
      <w:numFmt w:val="bullet"/>
      <w:lvlText w:val=""/>
      <w:lvlJc w:val="left"/>
      <w:pPr>
        <w:ind w:left="4579" w:hanging="360"/>
      </w:pPr>
      <w:rPr>
        <w:rFonts w:ascii="Wingdings" w:hAnsi="Wingdings" w:hint="default"/>
      </w:rPr>
    </w:lvl>
    <w:lvl w:ilvl="6" w:tplc="48090001" w:tentative="1">
      <w:start w:val="1"/>
      <w:numFmt w:val="bullet"/>
      <w:lvlText w:val=""/>
      <w:lvlJc w:val="left"/>
      <w:pPr>
        <w:ind w:left="5299" w:hanging="360"/>
      </w:pPr>
      <w:rPr>
        <w:rFonts w:ascii="Symbol" w:hAnsi="Symbol" w:hint="default"/>
      </w:rPr>
    </w:lvl>
    <w:lvl w:ilvl="7" w:tplc="48090003" w:tentative="1">
      <w:start w:val="1"/>
      <w:numFmt w:val="bullet"/>
      <w:lvlText w:val="o"/>
      <w:lvlJc w:val="left"/>
      <w:pPr>
        <w:ind w:left="6019" w:hanging="360"/>
      </w:pPr>
      <w:rPr>
        <w:rFonts w:ascii="Courier New" w:hAnsi="Courier New" w:cs="Courier New" w:hint="default"/>
      </w:rPr>
    </w:lvl>
    <w:lvl w:ilvl="8" w:tplc="48090005" w:tentative="1">
      <w:start w:val="1"/>
      <w:numFmt w:val="bullet"/>
      <w:lvlText w:val=""/>
      <w:lvlJc w:val="left"/>
      <w:pPr>
        <w:ind w:left="6739" w:hanging="360"/>
      </w:pPr>
      <w:rPr>
        <w:rFonts w:ascii="Wingdings" w:hAnsi="Wingdings" w:hint="default"/>
      </w:rPr>
    </w:lvl>
  </w:abstractNum>
  <w:abstractNum w:abstractNumId="4" w15:restartNumberingAfterBreak="0">
    <w:nsid w:val="69BE6E32"/>
    <w:multiLevelType w:val="hybridMultilevel"/>
    <w:tmpl w:val="AAF03C10"/>
    <w:lvl w:ilvl="0" w:tplc="6C6CD33E">
      <w:start w:val="11"/>
      <w:numFmt w:val="bullet"/>
      <w:lvlText w:val=""/>
      <w:lvlJc w:val="left"/>
      <w:pPr>
        <w:ind w:left="619" w:hanging="360"/>
      </w:pPr>
      <w:rPr>
        <w:rFonts w:ascii="Symbol" w:eastAsiaTheme="minorEastAsia" w:hAnsi="Symbol" w:cs="Times New Roman" w:hint="default"/>
      </w:rPr>
    </w:lvl>
    <w:lvl w:ilvl="1" w:tplc="48090003" w:tentative="1">
      <w:start w:val="1"/>
      <w:numFmt w:val="bullet"/>
      <w:lvlText w:val="o"/>
      <w:lvlJc w:val="left"/>
      <w:pPr>
        <w:ind w:left="1339" w:hanging="360"/>
      </w:pPr>
      <w:rPr>
        <w:rFonts w:ascii="Courier New" w:hAnsi="Courier New" w:cs="Courier New" w:hint="default"/>
      </w:rPr>
    </w:lvl>
    <w:lvl w:ilvl="2" w:tplc="48090005" w:tentative="1">
      <w:start w:val="1"/>
      <w:numFmt w:val="bullet"/>
      <w:lvlText w:val=""/>
      <w:lvlJc w:val="left"/>
      <w:pPr>
        <w:ind w:left="2059" w:hanging="360"/>
      </w:pPr>
      <w:rPr>
        <w:rFonts w:ascii="Wingdings" w:hAnsi="Wingdings" w:hint="default"/>
      </w:rPr>
    </w:lvl>
    <w:lvl w:ilvl="3" w:tplc="48090001" w:tentative="1">
      <w:start w:val="1"/>
      <w:numFmt w:val="bullet"/>
      <w:lvlText w:val=""/>
      <w:lvlJc w:val="left"/>
      <w:pPr>
        <w:ind w:left="2779" w:hanging="360"/>
      </w:pPr>
      <w:rPr>
        <w:rFonts w:ascii="Symbol" w:hAnsi="Symbol" w:hint="default"/>
      </w:rPr>
    </w:lvl>
    <w:lvl w:ilvl="4" w:tplc="48090003" w:tentative="1">
      <w:start w:val="1"/>
      <w:numFmt w:val="bullet"/>
      <w:lvlText w:val="o"/>
      <w:lvlJc w:val="left"/>
      <w:pPr>
        <w:ind w:left="3499" w:hanging="360"/>
      </w:pPr>
      <w:rPr>
        <w:rFonts w:ascii="Courier New" w:hAnsi="Courier New" w:cs="Courier New" w:hint="default"/>
      </w:rPr>
    </w:lvl>
    <w:lvl w:ilvl="5" w:tplc="48090005" w:tentative="1">
      <w:start w:val="1"/>
      <w:numFmt w:val="bullet"/>
      <w:lvlText w:val=""/>
      <w:lvlJc w:val="left"/>
      <w:pPr>
        <w:ind w:left="4219" w:hanging="360"/>
      </w:pPr>
      <w:rPr>
        <w:rFonts w:ascii="Wingdings" w:hAnsi="Wingdings" w:hint="default"/>
      </w:rPr>
    </w:lvl>
    <w:lvl w:ilvl="6" w:tplc="48090001" w:tentative="1">
      <w:start w:val="1"/>
      <w:numFmt w:val="bullet"/>
      <w:lvlText w:val=""/>
      <w:lvlJc w:val="left"/>
      <w:pPr>
        <w:ind w:left="4939" w:hanging="360"/>
      </w:pPr>
      <w:rPr>
        <w:rFonts w:ascii="Symbol" w:hAnsi="Symbol" w:hint="default"/>
      </w:rPr>
    </w:lvl>
    <w:lvl w:ilvl="7" w:tplc="48090003" w:tentative="1">
      <w:start w:val="1"/>
      <w:numFmt w:val="bullet"/>
      <w:lvlText w:val="o"/>
      <w:lvlJc w:val="left"/>
      <w:pPr>
        <w:ind w:left="5659" w:hanging="360"/>
      </w:pPr>
      <w:rPr>
        <w:rFonts w:ascii="Courier New" w:hAnsi="Courier New" w:cs="Courier New" w:hint="default"/>
      </w:rPr>
    </w:lvl>
    <w:lvl w:ilvl="8" w:tplc="48090005" w:tentative="1">
      <w:start w:val="1"/>
      <w:numFmt w:val="bullet"/>
      <w:lvlText w:val=""/>
      <w:lvlJc w:val="left"/>
      <w:pPr>
        <w:ind w:left="6379" w:hanging="360"/>
      </w:pPr>
      <w:rPr>
        <w:rFonts w:ascii="Wingdings" w:hAnsi="Wingdings" w:hint="default"/>
      </w:rPr>
    </w:lvl>
  </w:abstractNum>
  <w:abstractNum w:abstractNumId="5" w15:restartNumberingAfterBreak="0">
    <w:nsid w:val="70F7068F"/>
    <w:multiLevelType w:val="hybridMultilevel"/>
    <w:tmpl w:val="DD163BA2"/>
    <w:lvl w:ilvl="0" w:tplc="20A4B0AA">
      <w:start w:val="11"/>
      <w:numFmt w:val="bullet"/>
      <w:lvlText w:val="-"/>
      <w:lvlJc w:val="left"/>
      <w:pPr>
        <w:ind w:left="619" w:hanging="360"/>
      </w:pPr>
      <w:rPr>
        <w:rFonts w:ascii="Times New Roman" w:eastAsiaTheme="minorEastAsia" w:hAnsi="Times New Roman" w:cs="Times New Roman" w:hint="default"/>
      </w:rPr>
    </w:lvl>
    <w:lvl w:ilvl="1" w:tplc="48090003" w:tentative="1">
      <w:start w:val="1"/>
      <w:numFmt w:val="bullet"/>
      <w:lvlText w:val="o"/>
      <w:lvlJc w:val="left"/>
      <w:pPr>
        <w:ind w:left="1339" w:hanging="360"/>
      </w:pPr>
      <w:rPr>
        <w:rFonts w:ascii="Courier New" w:hAnsi="Courier New" w:cs="Courier New" w:hint="default"/>
      </w:rPr>
    </w:lvl>
    <w:lvl w:ilvl="2" w:tplc="48090005" w:tentative="1">
      <w:start w:val="1"/>
      <w:numFmt w:val="bullet"/>
      <w:lvlText w:val=""/>
      <w:lvlJc w:val="left"/>
      <w:pPr>
        <w:ind w:left="2059" w:hanging="360"/>
      </w:pPr>
      <w:rPr>
        <w:rFonts w:ascii="Wingdings" w:hAnsi="Wingdings" w:hint="default"/>
      </w:rPr>
    </w:lvl>
    <w:lvl w:ilvl="3" w:tplc="48090001" w:tentative="1">
      <w:start w:val="1"/>
      <w:numFmt w:val="bullet"/>
      <w:lvlText w:val=""/>
      <w:lvlJc w:val="left"/>
      <w:pPr>
        <w:ind w:left="2779" w:hanging="360"/>
      </w:pPr>
      <w:rPr>
        <w:rFonts w:ascii="Symbol" w:hAnsi="Symbol" w:hint="default"/>
      </w:rPr>
    </w:lvl>
    <w:lvl w:ilvl="4" w:tplc="48090003" w:tentative="1">
      <w:start w:val="1"/>
      <w:numFmt w:val="bullet"/>
      <w:lvlText w:val="o"/>
      <w:lvlJc w:val="left"/>
      <w:pPr>
        <w:ind w:left="3499" w:hanging="360"/>
      </w:pPr>
      <w:rPr>
        <w:rFonts w:ascii="Courier New" w:hAnsi="Courier New" w:cs="Courier New" w:hint="default"/>
      </w:rPr>
    </w:lvl>
    <w:lvl w:ilvl="5" w:tplc="48090005" w:tentative="1">
      <w:start w:val="1"/>
      <w:numFmt w:val="bullet"/>
      <w:lvlText w:val=""/>
      <w:lvlJc w:val="left"/>
      <w:pPr>
        <w:ind w:left="4219" w:hanging="360"/>
      </w:pPr>
      <w:rPr>
        <w:rFonts w:ascii="Wingdings" w:hAnsi="Wingdings" w:hint="default"/>
      </w:rPr>
    </w:lvl>
    <w:lvl w:ilvl="6" w:tplc="48090001" w:tentative="1">
      <w:start w:val="1"/>
      <w:numFmt w:val="bullet"/>
      <w:lvlText w:val=""/>
      <w:lvlJc w:val="left"/>
      <w:pPr>
        <w:ind w:left="4939" w:hanging="360"/>
      </w:pPr>
      <w:rPr>
        <w:rFonts w:ascii="Symbol" w:hAnsi="Symbol" w:hint="default"/>
      </w:rPr>
    </w:lvl>
    <w:lvl w:ilvl="7" w:tplc="48090003" w:tentative="1">
      <w:start w:val="1"/>
      <w:numFmt w:val="bullet"/>
      <w:lvlText w:val="o"/>
      <w:lvlJc w:val="left"/>
      <w:pPr>
        <w:ind w:left="5659" w:hanging="360"/>
      </w:pPr>
      <w:rPr>
        <w:rFonts w:ascii="Courier New" w:hAnsi="Courier New" w:cs="Courier New" w:hint="default"/>
      </w:rPr>
    </w:lvl>
    <w:lvl w:ilvl="8" w:tplc="48090005" w:tentative="1">
      <w:start w:val="1"/>
      <w:numFmt w:val="bullet"/>
      <w:lvlText w:val=""/>
      <w:lvlJc w:val="left"/>
      <w:pPr>
        <w:ind w:left="6379" w:hanging="360"/>
      </w:pPr>
      <w:rPr>
        <w:rFonts w:ascii="Wingdings" w:hAnsi="Wingdings" w:hint="default"/>
      </w:rPr>
    </w:lvl>
  </w:abstractNum>
  <w:abstractNum w:abstractNumId="6" w15:restartNumberingAfterBreak="0">
    <w:nsid w:val="776779F7"/>
    <w:multiLevelType w:val="hybridMultilevel"/>
    <w:tmpl w:val="E190D46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7D49279A"/>
    <w:multiLevelType w:val="hybridMultilevel"/>
    <w:tmpl w:val="026681C4"/>
    <w:lvl w:ilvl="0" w:tplc="FBA445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913004">
    <w:abstractNumId w:val="2"/>
  </w:num>
  <w:num w:numId="2" w16cid:durableId="948706762">
    <w:abstractNumId w:val="1"/>
  </w:num>
  <w:num w:numId="3" w16cid:durableId="253131284">
    <w:abstractNumId w:val="4"/>
  </w:num>
  <w:num w:numId="4" w16cid:durableId="449592200">
    <w:abstractNumId w:val="5"/>
  </w:num>
  <w:num w:numId="5" w16cid:durableId="1157841012">
    <w:abstractNumId w:val="6"/>
  </w:num>
  <w:num w:numId="6" w16cid:durableId="1109079869">
    <w:abstractNumId w:val="3"/>
  </w:num>
  <w:num w:numId="7" w16cid:durableId="663895242">
    <w:abstractNumId w:val="0"/>
  </w:num>
  <w:num w:numId="8" w16cid:durableId="1134525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CA"/>
    <w:rsid w:val="001C01B1"/>
    <w:rsid w:val="00305ACA"/>
    <w:rsid w:val="00313F27"/>
    <w:rsid w:val="006C0057"/>
    <w:rsid w:val="006E69A7"/>
    <w:rsid w:val="0078361D"/>
    <w:rsid w:val="008A3373"/>
    <w:rsid w:val="009B1490"/>
    <w:rsid w:val="00BB2045"/>
    <w:rsid w:val="00E030F0"/>
    <w:rsid w:val="00E4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8D85"/>
  <w15:chartTrackingRefBased/>
  <w15:docId w15:val="{686E6267-172D-4A0B-877C-AE4A13CF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ACA"/>
    <w:pPr>
      <w:spacing w:after="0" w:line="240" w:lineRule="auto"/>
    </w:pPr>
    <w:rPr>
      <w:rFonts w:ascii="Calibri" w:eastAsiaTheme="minorEastAsia" w:hAnsi="Calibri" w:cs="Calibri"/>
      <w:kern w:val="0"/>
      <w:sz w:val="22"/>
      <w:szCs w:val="22"/>
      <w14:ligatures w14:val="none"/>
    </w:rPr>
  </w:style>
  <w:style w:type="paragraph" w:styleId="Heading1">
    <w:name w:val="heading 1"/>
    <w:basedOn w:val="Normal"/>
    <w:next w:val="Normal"/>
    <w:link w:val="Heading1Char"/>
    <w:uiPriority w:val="9"/>
    <w:qFormat/>
    <w:rsid w:val="00305A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5A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5A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5A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5A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5A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A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A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A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A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5A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A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A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5A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5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ACA"/>
    <w:rPr>
      <w:rFonts w:eastAsiaTheme="majorEastAsia" w:cstheme="majorBidi"/>
      <w:color w:val="272727" w:themeColor="text1" w:themeTint="D8"/>
    </w:rPr>
  </w:style>
  <w:style w:type="paragraph" w:styleId="Title">
    <w:name w:val="Title"/>
    <w:basedOn w:val="Normal"/>
    <w:next w:val="Normal"/>
    <w:link w:val="TitleChar"/>
    <w:uiPriority w:val="10"/>
    <w:qFormat/>
    <w:rsid w:val="00305A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ACA"/>
    <w:pPr>
      <w:spacing w:before="160"/>
      <w:jc w:val="center"/>
    </w:pPr>
    <w:rPr>
      <w:i/>
      <w:iCs/>
      <w:color w:val="404040" w:themeColor="text1" w:themeTint="BF"/>
    </w:rPr>
  </w:style>
  <w:style w:type="character" w:customStyle="1" w:styleId="QuoteChar">
    <w:name w:val="Quote Char"/>
    <w:basedOn w:val="DefaultParagraphFont"/>
    <w:link w:val="Quote"/>
    <w:uiPriority w:val="29"/>
    <w:rsid w:val="00305ACA"/>
    <w:rPr>
      <w:i/>
      <w:iCs/>
      <w:color w:val="404040" w:themeColor="text1" w:themeTint="BF"/>
    </w:rPr>
  </w:style>
  <w:style w:type="paragraph" w:styleId="ListParagraph">
    <w:name w:val="List Paragraph"/>
    <w:aliases w:val="Picture,Đoạn của Danh sách1,Bullet List,FooterText,Paragraphe de liste1,List Paragraph1,numbered,Bulletr List Paragraph,列出段落,列出段落1,Paragraph,Norm,abc,Đoạn của Danh sách,List Paragraph11,Nga 3,Đoạn c𞹺Danh sách,List Paragraph111,bullet"/>
    <w:basedOn w:val="Normal"/>
    <w:link w:val="ListParagraphChar"/>
    <w:uiPriority w:val="34"/>
    <w:qFormat/>
    <w:rsid w:val="00305ACA"/>
    <w:pPr>
      <w:ind w:left="720"/>
      <w:contextualSpacing/>
    </w:pPr>
  </w:style>
  <w:style w:type="character" w:styleId="IntenseEmphasis">
    <w:name w:val="Intense Emphasis"/>
    <w:basedOn w:val="DefaultParagraphFont"/>
    <w:uiPriority w:val="21"/>
    <w:qFormat/>
    <w:rsid w:val="00305ACA"/>
    <w:rPr>
      <w:i/>
      <w:iCs/>
      <w:color w:val="2F5496" w:themeColor="accent1" w:themeShade="BF"/>
    </w:rPr>
  </w:style>
  <w:style w:type="paragraph" w:styleId="IntenseQuote">
    <w:name w:val="Intense Quote"/>
    <w:basedOn w:val="Normal"/>
    <w:next w:val="Normal"/>
    <w:link w:val="IntenseQuoteChar"/>
    <w:uiPriority w:val="30"/>
    <w:qFormat/>
    <w:rsid w:val="00305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5ACA"/>
    <w:rPr>
      <w:i/>
      <w:iCs/>
      <w:color w:val="2F5496" w:themeColor="accent1" w:themeShade="BF"/>
    </w:rPr>
  </w:style>
  <w:style w:type="character" w:styleId="IntenseReference">
    <w:name w:val="Intense Reference"/>
    <w:basedOn w:val="DefaultParagraphFont"/>
    <w:uiPriority w:val="32"/>
    <w:qFormat/>
    <w:rsid w:val="00305ACA"/>
    <w:rPr>
      <w:b/>
      <w:bCs/>
      <w:smallCaps/>
      <w:color w:val="2F5496" w:themeColor="accent1" w:themeShade="BF"/>
      <w:spacing w:val="5"/>
    </w:rPr>
  </w:style>
  <w:style w:type="table" w:styleId="TableGrid">
    <w:name w:val="Table Grid"/>
    <w:basedOn w:val="TableNormal"/>
    <w:uiPriority w:val="59"/>
    <w:rsid w:val="00305AC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icture Char,Đoạn của Danh sách1 Char,Bullet List Char,FooterText Char,Paragraphe de liste1 Char,List Paragraph1 Char,numbered Char,Bulletr List Paragraph Char,列出段落 Char,列出段落1 Char,Paragraph Char,Norm Char,abc Char,Nga 3 Char"/>
    <w:basedOn w:val="DefaultParagraphFont"/>
    <w:link w:val="ListParagraph"/>
    <w:uiPriority w:val="34"/>
    <w:locked/>
    <w:rsid w:val="00305ACA"/>
  </w:style>
  <w:style w:type="character" w:customStyle="1" w:styleId="fontstyle01">
    <w:name w:val="fontstyle01"/>
    <w:basedOn w:val="DefaultParagraphFont"/>
    <w:rsid w:val="00305AC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Tran</dc:creator>
  <cp:keywords/>
  <dc:description/>
  <cp:lastModifiedBy>Hanh Tran</cp:lastModifiedBy>
  <cp:revision>18</cp:revision>
  <dcterms:created xsi:type="dcterms:W3CDTF">2025-09-26T10:41:00Z</dcterms:created>
  <dcterms:modified xsi:type="dcterms:W3CDTF">2025-09-26T10:49:00Z</dcterms:modified>
</cp:coreProperties>
</file>